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0C72" w14:textId="77777777" w:rsidR="00275BFC" w:rsidRPr="00275BFC" w:rsidRDefault="00275BFC" w:rsidP="00275BFC">
      <w:pPr>
        <w:keepNext/>
        <w:spacing w:before="260" w:after="130" w:line="260" w:lineRule="exact"/>
        <w:rPr>
          <w:b/>
          <w:caps/>
          <w:spacing w:val="5"/>
          <w:sz w:val="18"/>
          <w:szCs w:val="18"/>
          <w:lang w:eastAsia="en-US"/>
        </w:rPr>
      </w:pPr>
      <w:r w:rsidRPr="00275BFC">
        <w:rPr>
          <w:b/>
          <w:caps/>
          <w:spacing w:val="5"/>
          <w:sz w:val="18"/>
          <w:szCs w:val="18"/>
          <w:lang w:eastAsia="en-US"/>
        </w:rPr>
        <w:t>BIlag 2: tidsplan og betalinger</w:t>
      </w:r>
    </w:p>
    <w:p w14:paraId="6EB96B65" w14:textId="77777777" w:rsidR="00275BFC" w:rsidRPr="00275BFC" w:rsidRDefault="00275BFC" w:rsidP="00275BFC">
      <w:pPr>
        <w:spacing w:after="160" w:line="259" w:lineRule="auto"/>
        <w:rPr>
          <w:rFonts w:eastAsia="Calibri"/>
          <w:sz w:val="18"/>
          <w:szCs w:val="18"/>
          <w:lang w:eastAsia="en-US"/>
        </w:rPr>
      </w:pPr>
      <w:r w:rsidRPr="00275BFC">
        <w:rPr>
          <w:rFonts w:eastAsia="Calibri"/>
          <w:sz w:val="18"/>
          <w:szCs w:val="18"/>
          <w:lang w:eastAsia="en-US"/>
        </w:rPr>
        <w:t xml:space="preserve">Dette </w:t>
      </w:r>
      <w:r w:rsidRPr="00275BFC">
        <w:rPr>
          <w:rFonts w:eastAsia="Calibri"/>
          <w:b/>
          <w:bCs/>
          <w:sz w:val="18"/>
          <w:szCs w:val="18"/>
          <w:lang w:eastAsia="en-US"/>
        </w:rPr>
        <w:t>Bilag 2</w:t>
      </w:r>
      <w:r w:rsidRPr="00275BFC">
        <w:rPr>
          <w:rFonts w:eastAsia="Calibri"/>
          <w:sz w:val="18"/>
          <w:szCs w:val="18"/>
          <w:lang w:eastAsia="en-US"/>
        </w:rPr>
        <w:t xml:space="preserve"> beskriver den forventede etableringstid, den nødvendige sikkerhedsstillelse og krav til betaling for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nettilslutning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 af Produktionsanlægget. </w:t>
      </w:r>
    </w:p>
    <w:p w14:paraId="5A59F6CE" w14:textId="77777777" w:rsidR="00275BFC" w:rsidRPr="00275BFC" w:rsidRDefault="00275BFC" w:rsidP="00275BFC">
      <w:pPr>
        <w:spacing w:before="130" w:after="130" w:line="260" w:lineRule="atLeast"/>
        <w:rPr>
          <w:rFonts w:eastAsia="Calibri"/>
          <w:color w:val="000000"/>
          <w:sz w:val="18"/>
          <w:szCs w:val="26"/>
          <w:lang w:eastAsia="en-US"/>
        </w:rPr>
      </w:pPr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Anlægsejeren skal betale tilslutningsbidraget (som anført nedenfor) til </w:t>
      </w:r>
      <w:proofErr w:type="spellStart"/>
      <w:r w:rsidRPr="00275BFC">
        <w:rPr>
          <w:rFonts w:eastAsia="Calibri"/>
          <w:color w:val="000000"/>
          <w:sz w:val="18"/>
          <w:szCs w:val="26"/>
          <w:lang w:eastAsia="en-US"/>
        </w:rPr>
        <w:t>Netselskabet</w:t>
      </w:r>
      <w:proofErr w:type="spellEnd"/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for </w:t>
      </w:r>
      <w:proofErr w:type="spellStart"/>
      <w:r w:rsidRPr="00275BFC">
        <w:rPr>
          <w:rFonts w:eastAsia="Calibri"/>
          <w:color w:val="000000"/>
          <w:sz w:val="18"/>
          <w:szCs w:val="26"/>
          <w:lang w:eastAsia="en-US"/>
        </w:rPr>
        <w:t>nettilslutningen</w:t>
      </w:r>
      <w:proofErr w:type="spellEnd"/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</w:t>
      </w:r>
      <w:bookmarkStart w:id="0" w:name="_Hlk88468962"/>
      <w:r w:rsidRPr="00275BFC">
        <w:rPr>
          <w:rFonts w:eastAsia="Calibri"/>
          <w:color w:val="000000"/>
          <w:sz w:val="18"/>
          <w:szCs w:val="26"/>
          <w:lang w:eastAsia="en-US"/>
        </w:rPr>
        <w:t>på det tidspunkt, hvor Produktionsanlægget første gang leverer elektricitet til Det Kollektive Elforsyningsnet</w:t>
      </w:r>
      <w:bookmarkEnd w:id="0"/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jf. Aftalens pkt. 3.2. </w:t>
      </w:r>
    </w:p>
    <w:p w14:paraId="485E1314" w14:textId="77777777" w:rsidR="00275BFC" w:rsidRPr="00275BFC" w:rsidRDefault="00275BFC" w:rsidP="00275BFC">
      <w:pPr>
        <w:spacing w:before="130" w:after="130" w:line="260" w:lineRule="atLeast"/>
        <w:rPr>
          <w:color w:val="000000"/>
          <w:sz w:val="18"/>
          <w:szCs w:val="26"/>
          <w:lang w:eastAsia="en-US"/>
        </w:rPr>
      </w:pPr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Hvis Produktionsanlægget ikke </w:t>
      </w:r>
      <w:proofErr w:type="spellStart"/>
      <w:r w:rsidRPr="00275BFC">
        <w:rPr>
          <w:rFonts w:eastAsia="Calibri"/>
          <w:color w:val="000000"/>
          <w:sz w:val="18"/>
          <w:szCs w:val="26"/>
          <w:lang w:eastAsia="en-US"/>
        </w:rPr>
        <w:t>nettilsluttes</w:t>
      </w:r>
      <w:proofErr w:type="spellEnd"/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</w:t>
      </w:r>
      <w:r w:rsidRPr="00275BFC">
        <w:rPr>
          <w:rFonts w:cs="Arial"/>
          <w:color w:val="000000"/>
          <w:sz w:val="18"/>
          <w:szCs w:val="26"/>
          <w:lang w:eastAsia="en-US"/>
        </w:rPr>
        <w:t>senest på Long-stop Datoen</w:t>
      </w:r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på grund af forhold som ikke henhører under </w:t>
      </w:r>
      <w:proofErr w:type="spellStart"/>
      <w:r w:rsidRPr="00275BFC">
        <w:rPr>
          <w:rFonts w:eastAsia="Calibri"/>
          <w:color w:val="000000"/>
          <w:sz w:val="18"/>
          <w:szCs w:val="26"/>
          <w:lang w:eastAsia="en-US"/>
        </w:rPr>
        <w:t>Netselskabets</w:t>
      </w:r>
      <w:proofErr w:type="spellEnd"/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kontrolsfære, skal Anlægsejer betale samtlige af de </w:t>
      </w:r>
      <w:r w:rsidRPr="00275BFC">
        <w:rPr>
          <w:rFonts w:cs="Arial"/>
          <w:color w:val="000000"/>
          <w:sz w:val="18"/>
          <w:szCs w:val="26"/>
          <w:lang w:eastAsia="en-US"/>
        </w:rPr>
        <w:t xml:space="preserve">faktiske omkostninger, </w:t>
      </w:r>
      <w:r w:rsidRPr="00275BFC">
        <w:rPr>
          <w:color w:val="000000"/>
          <w:sz w:val="18"/>
          <w:szCs w:val="26"/>
          <w:lang w:eastAsia="en-US"/>
        </w:rPr>
        <w:t>herunder sagsbehandlingsomkostninger og omkostninger til måling,</w:t>
      </w:r>
      <w:r w:rsidRPr="00275BFC">
        <w:rPr>
          <w:rFonts w:cs="Arial"/>
          <w:color w:val="000000"/>
          <w:sz w:val="18"/>
          <w:szCs w:val="26"/>
          <w:lang w:eastAsia="en-US"/>
        </w:rPr>
        <w:t xml:space="preserve"> som </w:t>
      </w:r>
      <w:proofErr w:type="spellStart"/>
      <w:r w:rsidRPr="00275BFC">
        <w:rPr>
          <w:rFonts w:cs="Arial"/>
          <w:color w:val="000000"/>
          <w:sz w:val="18"/>
          <w:szCs w:val="26"/>
          <w:lang w:eastAsia="en-US"/>
        </w:rPr>
        <w:t>Netselskabet</w:t>
      </w:r>
      <w:proofErr w:type="spellEnd"/>
      <w:r w:rsidRPr="00275BFC">
        <w:rPr>
          <w:rFonts w:cs="Arial"/>
          <w:color w:val="000000"/>
          <w:sz w:val="18"/>
          <w:szCs w:val="26"/>
          <w:lang w:eastAsia="en-US"/>
        </w:rPr>
        <w:t xml:space="preserve"> har pådraget sig med henblik på </w:t>
      </w:r>
      <w:proofErr w:type="spellStart"/>
      <w:r w:rsidRPr="00275BFC">
        <w:rPr>
          <w:rFonts w:cs="Arial"/>
          <w:color w:val="000000"/>
          <w:sz w:val="18"/>
          <w:szCs w:val="26"/>
          <w:lang w:eastAsia="en-US"/>
        </w:rPr>
        <w:t>nettilslutningen</w:t>
      </w:r>
      <w:proofErr w:type="spellEnd"/>
      <w:r w:rsidRPr="00275BFC">
        <w:rPr>
          <w:rFonts w:cs="Arial"/>
          <w:color w:val="000000"/>
          <w:sz w:val="18"/>
          <w:szCs w:val="26"/>
          <w:lang w:eastAsia="en-US"/>
        </w:rPr>
        <w:t xml:space="preserve"> af Produktionsanlægget, dog højest et beløb svarende til størrelsen af </w:t>
      </w:r>
      <w:proofErr w:type="spellStart"/>
      <w:r w:rsidRPr="00275BFC">
        <w:rPr>
          <w:rFonts w:eastAsia="Calibri"/>
          <w:color w:val="000000"/>
          <w:sz w:val="18"/>
          <w:szCs w:val="26"/>
          <w:lang w:eastAsia="en-US"/>
        </w:rPr>
        <w:t>Netselskabet</w:t>
      </w:r>
      <w:proofErr w:type="spellEnd"/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</w:t>
      </w:r>
      <w:r w:rsidRPr="00275BFC">
        <w:rPr>
          <w:rFonts w:cs="Arial"/>
          <w:color w:val="000000"/>
          <w:sz w:val="18"/>
          <w:szCs w:val="26"/>
          <w:lang w:eastAsia="en-US"/>
        </w:rPr>
        <w:t>tilslutningsbidraget som fastsat i pkt. 2.2</w:t>
      </w:r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. </w:t>
      </w:r>
      <w:r w:rsidRPr="00275BFC">
        <w:rPr>
          <w:color w:val="000000"/>
          <w:sz w:val="18"/>
          <w:szCs w:val="26"/>
          <w:lang w:eastAsia="en-US"/>
        </w:rPr>
        <w:t xml:space="preserve"> </w:t>
      </w:r>
      <w:r w:rsidRPr="00275BFC">
        <w:rPr>
          <w:rFonts w:eastAsia="Calibri"/>
          <w:color w:val="000000"/>
          <w:sz w:val="18"/>
          <w:szCs w:val="26"/>
          <w:lang w:eastAsia="en-US"/>
        </w:rPr>
        <w:t xml:space="preserve"> </w:t>
      </w:r>
    </w:p>
    <w:p w14:paraId="5C0EC2BA" w14:textId="77777777" w:rsidR="00275BFC" w:rsidRPr="00275BFC" w:rsidRDefault="00275BFC" w:rsidP="00275BFC">
      <w:pPr>
        <w:spacing w:before="130" w:after="130" w:line="260" w:lineRule="atLeast"/>
        <w:rPr>
          <w:rFonts w:cs="Arial"/>
          <w:color w:val="000000"/>
          <w:sz w:val="18"/>
          <w:szCs w:val="26"/>
          <w:lang w:eastAsia="en-US"/>
        </w:rPr>
      </w:pPr>
      <w:r w:rsidRPr="00275BFC">
        <w:rPr>
          <w:color w:val="000000"/>
          <w:sz w:val="18"/>
          <w:szCs w:val="26"/>
          <w:lang w:eastAsia="en-US"/>
        </w:rPr>
        <w:t xml:space="preserve">Sikkerheden skal i overensstemmelse med Aftalens pkt. 2.6 stilles til sikkerhed for (i) tilslutningsbidraget, såfremt Produktionsanlægget bliver tilsluttet Det Kollektive Elforsyningsnet, og (ii) </w:t>
      </w:r>
      <w:r w:rsidRPr="00275BFC">
        <w:rPr>
          <w:rFonts w:cs="Arial"/>
          <w:color w:val="000000"/>
          <w:sz w:val="18"/>
          <w:szCs w:val="26"/>
          <w:lang w:eastAsia="en-US"/>
        </w:rPr>
        <w:t xml:space="preserve">samtlige faktiske omkostninger som </w:t>
      </w:r>
      <w:proofErr w:type="spellStart"/>
      <w:r w:rsidRPr="00275BFC">
        <w:rPr>
          <w:rFonts w:cs="Arial"/>
          <w:color w:val="000000"/>
          <w:sz w:val="18"/>
          <w:szCs w:val="26"/>
          <w:lang w:eastAsia="en-US"/>
        </w:rPr>
        <w:t>Netselskabet</w:t>
      </w:r>
      <w:proofErr w:type="spellEnd"/>
      <w:r w:rsidRPr="00275BFC">
        <w:rPr>
          <w:rFonts w:cs="Arial"/>
          <w:color w:val="000000"/>
          <w:sz w:val="18"/>
          <w:szCs w:val="26"/>
          <w:lang w:eastAsia="en-US"/>
        </w:rPr>
        <w:t xml:space="preserve"> har pådraget sig </w:t>
      </w:r>
      <w:proofErr w:type="spellStart"/>
      <w:r w:rsidRPr="00275BFC">
        <w:rPr>
          <w:rFonts w:cs="Arial"/>
          <w:color w:val="000000"/>
          <w:sz w:val="18"/>
          <w:szCs w:val="26"/>
          <w:lang w:eastAsia="en-US"/>
        </w:rPr>
        <w:t>medmed</w:t>
      </w:r>
      <w:proofErr w:type="spellEnd"/>
      <w:r w:rsidRPr="00275BFC">
        <w:rPr>
          <w:rFonts w:cs="Arial"/>
          <w:color w:val="000000"/>
          <w:sz w:val="18"/>
          <w:szCs w:val="26"/>
          <w:lang w:eastAsia="en-US"/>
        </w:rPr>
        <w:t xml:space="preserve"> henblik på </w:t>
      </w:r>
      <w:proofErr w:type="spellStart"/>
      <w:r w:rsidRPr="00275BFC">
        <w:rPr>
          <w:rFonts w:cs="Arial"/>
          <w:color w:val="000000"/>
          <w:sz w:val="18"/>
          <w:szCs w:val="26"/>
          <w:lang w:eastAsia="en-US"/>
        </w:rPr>
        <w:t>nettilslutningen</w:t>
      </w:r>
      <w:proofErr w:type="spellEnd"/>
      <w:r w:rsidRPr="00275BFC">
        <w:rPr>
          <w:rFonts w:cs="Arial"/>
          <w:color w:val="000000"/>
          <w:sz w:val="18"/>
          <w:szCs w:val="26"/>
          <w:lang w:eastAsia="en-US"/>
        </w:rPr>
        <w:t xml:space="preserve"> af Produktionsanlægget, såfremt Produktionsanlægget ikke bliver tilsluttet Det Kollektive Elforsyningsnet,, dog højest et beløb svarende til størrelsen af tilslutningsbidraget som fastsat i Aftalens pkt. 2.2</w:t>
      </w:r>
      <w:r w:rsidRPr="00275BFC">
        <w:rPr>
          <w:rFonts w:eastAsia="Calibri"/>
          <w:color w:val="000000"/>
          <w:sz w:val="18"/>
          <w:szCs w:val="26"/>
          <w:lang w:eastAsia="en-US"/>
        </w:rPr>
        <w:t>.</w:t>
      </w:r>
      <w:r w:rsidRPr="00275BFC">
        <w:rPr>
          <w:rFonts w:cs="Arial"/>
          <w:color w:val="000000"/>
          <w:sz w:val="18"/>
          <w:szCs w:val="26"/>
          <w:lang w:eastAsia="en-US"/>
        </w:rPr>
        <w:t xml:space="preserve"> </w:t>
      </w:r>
    </w:p>
    <w:p w14:paraId="3D5138F4" w14:textId="77777777" w:rsidR="00275BFC" w:rsidRPr="00275BFC" w:rsidRDefault="00275BFC" w:rsidP="00275BFC">
      <w:pPr>
        <w:spacing w:after="160" w:line="260" w:lineRule="atLeast"/>
        <w:rPr>
          <w:rFonts w:eastAsia="Calibri"/>
          <w:sz w:val="18"/>
          <w:szCs w:val="18"/>
          <w:lang w:eastAsia="en-US"/>
        </w:rPr>
      </w:pPr>
      <w:proofErr w:type="spellStart"/>
      <w:r w:rsidRPr="00275BFC">
        <w:rPr>
          <w:rFonts w:eastAsia="Calibri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 kan jf.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nettilslutningsbekendtgørelsen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 kræve økonomisk sikkerhedsstillelse af Anlægsejeren for omkostninger, som Anlægsejeren skal afholde ved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nettilslutningen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 af Produktionsanlægget.</w:t>
      </w:r>
    </w:p>
    <w:p w14:paraId="7002CB3E" w14:textId="77777777" w:rsidR="00275BFC" w:rsidRPr="00275BFC" w:rsidRDefault="00275BFC" w:rsidP="00275BFC">
      <w:pPr>
        <w:spacing w:after="160" w:line="259" w:lineRule="auto"/>
        <w:rPr>
          <w:rFonts w:eastAsia="Calibri"/>
          <w:sz w:val="18"/>
          <w:szCs w:val="18"/>
          <w:lang w:eastAsia="en-US"/>
        </w:rPr>
      </w:pPr>
      <w:bookmarkStart w:id="1" w:name="_Hlk88483702"/>
      <w:r w:rsidRPr="00275BFC">
        <w:rPr>
          <w:rFonts w:eastAsia="Arial"/>
          <w:sz w:val="18"/>
          <w:szCs w:val="18"/>
          <w:lang w:eastAsia="en-US"/>
        </w:rPr>
        <w:t>Sikkerheden skal stilles for det samlede projekt</w:t>
      </w:r>
      <w:bookmarkEnd w:id="1"/>
      <w:r w:rsidRPr="00275BFC">
        <w:rPr>
          <w:rFonts w:eastAsia="Arial"/>
          <w:sz w:val="18"/>
          <w:szCs w:val="18"/>
          <w:lang w:eastAsia="en-US"/>
        </w:rPr>
        <w:t>.</w:t>
      </w:r>
    </w:p>
    <w:p w14:paraId="363C0B3A" w14:textId="77777777" w:rsidR="00275BFC" w:rsidRPr="00275BFC" w:rsidRDefault="00275BFC" w:rsidP="00275BFC">
      <w:pPr>
        <w:spacing w:after="160" w:line="256" w:lineRule="auto"/>
        <w:rPr>
          <w:rFonts w:eastAsia="Calibri"/>
          <w:sz w:val="18"/>
          <w:szCs w:val="18"/>
          <w:lang w:eastAsia="en-US"/>
        </w:rPr>
      </w:pPr>
      <w:r w:rsidRPr="00275BFC">
        <w:rPr>
          <w:rFonts w:eastAsia="Calibri"/>
          <w:sz w:val="18"/>
          <w:szCs w:val="18"/>
          <w:lang w:eastAsia="en-US"/>
        </w:rPr>
        <w:t xml:space="preserve">De angivne tidspunkter nedenfor er fra det tidspunkt, hvor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 har modtaget en underskrevet Aftale samt modtaget og godkendt sikkerhedsstillelsen.</w:t>
      </w:r>
    </w:p>
    <w:p w14:paraId="388773BB" w14:textId="77777777" w:rsidR="00275BFC" w:rsidRPr="00275BFC" w:rsidRDefault="00275BFC" w:rsidP="00275BFC">
      <w:pPr>
        <w:pBdr>
          <w:bottom w:val="single" w:sz="12" w:space="1" w:color="auto"/>
        </w:pBdr>
        <w:spacing w:after="160" w:line="259" w:lineRule="auto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113"/>
      </w:tblGrid>
      <w:tr w:rsidR="00275BFC" w:rsidRPr="00275BFC" w14:paraId="1B5F3922" w14:textId="77777777" w:rsidTr="002D7A75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FA799" w14:textId="77777777" w:rsidR="00275BFC" w:rsidRPr="00275BFC" w:rsidRDefault="00275BFC" w:rsidP="00275BFC">
            <w:pPr>
              <w:keepNext/>
              <w:spacing w:before="260" w:after="130" w:line="260" w:lineRule="exact"/>
              <w:rPr>
                <w:b/>
                <w:caps/>
                <w:spacing w:val="5"/>
                <w:sz w:val="18"/>
                <w:szCs w:val="18"/>
                <w:lang w:eastAsia="en-US"/>
              </w:rPr>
            </w:pPr>
            <w:r w:rsidRPr="00275BFC">
              <w:rPr>
                <w:b/>
                <w:caps/>
                <w:spacing w:val="5"/>
                <w:sz w:val="18"/>
                <w:szCs w:val="18"/>
                <w:lang w:eastAsia="en-US"/>
              </w:rPr>
              <w:t>Samlet projekt</w:t>
            </w:r>
          </w:p>
          <w:p w14:paraId="397D6A2E" w14:textId="77777777" w:rsidR="00275BFC" w:rsidRPr="00275BFC" w:rsidRDefault="00275BFC" w:rsidP="00275BFC">
            <w:pPr>
              <w:spacing w:line="260" w:lineRule="atLeast"/>
              <w:rPr>
                <w:rFonts w:eastAsia="Arial"/>
                <w:sz w:val="18"/>
                <w:szCs w:val="18"/>
                <w:lang w:eastAsia="en-US"/>
              </w:rPr>
            </w:pPr>
            <w:r w:rsidRPr="00275BFC">
              <w:rPr>
                <w:rFonts w:eastAsia="Arial"/>
                <w:sz w:val="18"/>
                <w:szCs w:val="18"/>
                <w:lang w:eastAsia="en-US"/>
              </w:rPr>
              <w:t>Projektet påbegyndes, når Anlægsejer har stillet sikkerhed som anført i Aftalens pkt. 2.4.</w:t>
            </w:r>
          </w:p>
        </w:tc>
      </w:tr>
      <w:tr w:rsidR="00275BFC" w:rsidRPr="00275BFC" w14:paraId="6B3E6167" w14:textId="77777777" w:rsidTr="002D7A75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F9FB3" w14:textId="77777777" w:rsidR="00275BFC" w:rsidRPr="00275BFC" w:rsidRDefault="00275BFC" w:rsidP="00275BFC">
            <w:pPr>
              <w:keepNext/>
              <w:spacing w:before="260" w:after="130" w:line="260" w:lineRule="atLeas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b/>
                <w:color w:val="000000"/>
                <w:sz w:val="18"/>
                <w:szCs w:val="18"/>
                <w:lang w:eastAsia="en-US"/>
              </w:rPr>
              <w:t>Samlet etableringstid og sikkerhedsstillelse:</w:t>
            </w:r>
          </w:p>
        </w:tc>
      </w:tr>
      <w:tr w:rsidR="00275BFC" w:rsidRPr="00275BFC" w14:paraId="553F43AC" w14:textId="77777777" w:rsidTr="002D7A75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532BA248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sz w:val="18"/>
                <w:szCs w:val="18"/>
                <w:lang w:eastAsia="en-US"/>
              </w:rPr>
              <w:t>Forventet etableringstid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shd w:val="clear" w:color="auto" w:fill="auto"/>
          </w:tcPr>
          <w:p w14:paraId="4BFD735B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end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 xml:space="preserve"> mdr.</w:t>
            </w:r>
          </w:p>
        </w:tc>
      </w:tr>
      <w:tr w:rsidR="00275BFC" w:rsidRPr="00275BFC" w14:paraId="22224EA3" w14:textId="77777777" w:rsidTr="002D7A75"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7714009D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sz w:val="18"/>
                <w:szCs w:val="18"/>
                <w:lang w:eastAsia="en-US"/>
              </w:rPr>
              <w:t>Tilslutningsbidrag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shd w:val="clear" w:color="auto" w:fill="auto"/>
          </w:tcPr>
          <w:p w14:paraId="55686CC9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end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 xml:space="preserve"> kr. inkl. moms.</w:t>
            </w:r>
          </w:p>
        </w:tc>
      </w:tr>
      <w:tr w:rsidR="00275BFC" w:rsidRPr="00275BFC" w14:paraId="0A03E9A7" w14:textId="77777777" w:rsidTr="002D7A75">
        <w:tc>
          <w:tcPr>
            <w:tcW w:w="2547" w:type="dxa"/>
            <w:shd w:val="clear" w:color="auto" w:fill="auto"/>
          </w:tcPr>
          <w:p w14:paraId="192F811C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sz w:val="18"/>
                <w:szCs w:val="18"/>
                <w:lang w:eastAsia="en-US"/>
              </w:rPr>
              <w:t>Sikkerhedsstillelse</w:t>
            </w:r>
          </w:p>
        </w:tc>
        <w:tc>
          <w:tcPr>
            <w:tcW w:w="7081" w:type="dxa"/>
            <w:shd w:val="clear" w:color="auto" w:fill="auto"/>
          </w:tcPr>
          <w:p w14:paraId="4E78C3FF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end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 xml:space="preserve"> kr. inkl. moms.</w:t>
            </w:r>
          </w:p>
        </w:tc>
      </w:tr>
      <w:tr w:rsidR="00275BFC" w:rsidRPr="00275BFC" w14:paraId="764B26DC" w14:textId="77777777" w:rsidTr="002D7A75">
        <w:tc>
          <w:tcPr>
            <w:tcW w:w="2547" w:type="dxa"/>
            <w:shd w:val="clear" w:color="auto" w:fill="auto"/>
          </w:tcPr>
          <w:p w14:paraId="5327613E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sz w:val="18"/>
                <w:szCs w:val="18"/>
                <w:lang w:eastAsia="en-US"/>
              </w:rPr>
              <w:t>Bemærkninger</w:t>
            </w:r>
          </w:p>
        </w:tc>
        <w:tc>
          <w:tcPr>
            <w:tcW w:w="7081" w:type="dxa"/>
            <w:shd w:val="clear" w:color="auto" w:fill="auto"/>
          </w:tcPr>
          <w:p w14:paraId="28CA5C7E" w14:textId="77777777" w:rsidR="00275BFC" w:rsidRPr="00275BFC" w:rsidRDefault="00275BFC" w:rsidP="00275BFC">
            <w:pPr>
              <w:spacing w:after="160" w:line="259" w:lineRule="auto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Calibri"/>
                <w:iCs/>
                <w:sz w:val="18"/>
                <w:szCs w:val="18"/>
                <w:lang w:eastAsia="en-US"/>
              </w:rPr>
              <w:t xml:space="preserve">Sikkerhedsstillelsen er opgjort ud fra og tjener til sikkerhed for Anlægsejers betaling i overensstemmelse med afsnittet </w:t>
            </w:r>
            <w:r w:rsidRPr="00275BFC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Økonomiske Elementer Vedr. </w:t>
            </w:r>
            <w:proofErr w:type="spellStart"/>
            <w:r w:rsidRPr="00275BFC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Nettilslutningen</w:t>
            </w:r>
            <w:proofErr w:type="spellEnd"/>
            <w:r w:rsidRPr="00275BFC">
              <w:rPr>
                <w:rFonts w:eastAsia="Calibri"/>
                <w:iCs/>
                <w:sz w:val="18"/>
                <w:szCs w:val="18"/>
                <w:lang w:eastAsia="en-US"/>
              </w:rPr>
              <w:t>.</w:t>
            </w:r>
          </w:p>
        </w:tc>
      </w:tr>
    </w:tbl>
    <w:p w14:paraId="3C1EC500" w14:textId="77777777" w:rsidR="00275BFC" w:rsidRPr="00275BFC" w:rsidRDefault="00275BFC" w:rsidP="00275BFC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03786D3E" w14:textId="77777777" w:rsidR="00275BFC" w:rsidRPr="00275BFC" w:rsidRDefault="00275BFC" w:rsidP="00275BFC">
      <w:pPr>
        <w:pBdr>
          <w:bottom w:val="single" w:sz="12" w:space="1" w:color="auto"/>
        </w:pBdr>
        <w:spacing w:after="160" w:line="259" w:lineRule="auto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6143"/>
      </w:tblGrid>
      <w:tr w:rsidR="00275BFC" w:rsidRPr="00275BFC" w14:paraId="2877672F" w14:textId="77777777" w:rsidTr="002D7A75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387A4" w14:textId="77777777" w:rsidR="00275BFC" w:rsidRPr="00275BFC" w:rsidRDefault="00275BFC" w:rsidP="00275BFC">
            <w:pPr>
              <w:keepNext/>
              <w:spacing w:before="260" w:after="130" w:line="260" w:lineRule="exact"/>
              <w:rPr>
                <w:b/>
                <w:caps/>
                <w:spacing w:val="5"/>
                <w:sz w:val="18"/>
                <w:szCs w:val="18"/>
                <w:lang w:eastAsia="en-US"/>
              </w:rPr>
            </w:pPr>
            <w:r w:rsidRPr="00275BFC">
              <w:rPr>
                <w:b/>
                <w:caps/>
                <w:spacing w:val="5"/>
                <w:sz w:val="18"/>
                <w:szCs w:val="18"/>
                <w:lang w:eastAsia="en-US"/>
              </w:rPr>
              <w:t>Faseopdelt projekt [</w:t>
            </w:r>
            <w:r w:rsidRPr="00275BFC">
              <w:rPr>
                <w:b/>
                <w:i/>
                <w:iCs/>
                <w:caps/>
                <w:spacing w:val="5"/>
                <w:sz w:val="18"/>
                <w:szCs w:val="18"/>
                <w:lang w:eastAsia="en-US"/>
              </w:rPr>
              <w:t>uDGÅR HVIS PROJEKTET IKKE ER FASEOPDELT</w:t>
            </w:r>
            <w:r w:rsidRPr="00275BFC">
              <w:rPr>
                <w:b/>
                <w:caps/>
                <w:spacing w:val="5"/>
                <w:sz w:val="18"/>
                <w:szCs w:val="18"/>
                <w:lang w:eastAsia="en-US"/>
              </w:rPr>
              <w:t>]</w:t>
            </w:r>
          </w:p>
        </w:tc>
      </w:tr>
      <w:tr w:rsidR="00275BFC" w:rsidRPr="00275BFC" w14:paraId="44371F0E" w14:textId="77777777" w:rsidTr="002D7A75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E504B" w14:textId="77777777" w:rsidR="00275BFC" w:rsidRPr="00275BFC" w:rsidRDefault="00275BFC" w:rsidP="00275BFC">
            <w:pPr>
              <w:keepNext/>
              <w:spacing w:before="260" w:after="130" w:line="260" w:lineRule="atLeast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bCs/>
                <w:color w:val="000000"/>
                <w:sz w:val="18"/>
                <w:szCs w:val="26"/>
                <w:lang w:eastAsia="en-US"/>
              </w:rPr>
              <w:t>Projektet påbegyndes, når Anlægsejer har stillet sikkerhed som anført i Aftalens pkt. 2.</w:t>
            </w:r>
          </w:p>
          <w:p w14:paraId="2B1AF509" w14:textId="77777777" w:rsidR="00275BFC" w:rsidRPr="00275BFC" w:rsidRDefault="00275BFC" w:rsidP="00275BFC">
            <w:pPr>
              <w:keepNext/>
              <w:spacing w:before="260" w:after="130" w:line="260" w:lineRule="atLeas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b/>
                <w:color w:val="000000"/>
                <w:sz w:val="18"/>
                <w:szCs w:val="18"/>
                <w:lang w:eastAsia="en-US"/>
              </w:rPr>
              <w:t>Fase 1</w:t>
            </w:r>
          </w:p>
        </w:tc>
      </w:tr>
      <w:tr w:rsidR="00275BFC" w:rsidRPr="00275BFC" w14:paraId="7858B364" w14:textId="77777777" w:rsidTr="002D7A75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AF2C30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083EE796" w14:textId="77777777" w:rsidR="00275BFC" w:rsidRPr="00275BFC" w:rsidRDefault="00275BFC" w:rsidP="00275BF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Her kan der listes, hvad fase 1 omfatter.</w:t>
            </w:r>
          </w:p>
          <w:p w14:paraId="7047172B" w14:textId="77777777" w:rsidR="00275BFC" w:rsidRPr="00275BFC" w:rsidRDefault="00275BFC" w:rsidP="00275BF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y</w:t>
            </w:r>
          </w:p>
          <w:p w14:paraId="7250B6DE" w14:textId="77777777" w:rsidR="00275BFC" w:rsidRPr="00275BFC" w:rsidRDefault="00275BFC" w:rsidP="00275BFC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lastRenderedPageBreak/>
              <w:t>z</w:t>
            </w:r>
          </w:p>
          <w:p w14:paraId="1D84525E" w14:textId="77777777" w:rsidR="00275BFC" w:rsidRPr="00275BFC" w:rsidRDefault="00275BFC" w:rsidP="00275BFC">
            <w:pPr>
              <w:spacing w:line="260" w:lineRule="atLeast"/>
              <w:ind w:left="720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0687B385" w14:textId="77777777" w:rsidTr="002D7A75">
        <w:tc>
          <w:tcPr>
            <w:tcW w:w="2547" w:type="dxa"/>
            <w:shd w:val="clear" w:color="auto" w:fill="auto"/>
          </w:tcPr>
          <w:p w14:paraId="7DE6FBF6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sz w:val="18"/>
                <w:szCs w:val="18"/>
                <w:lang w:eastAsia="en-US"/>
              </w:rPr>
              <w:lastRenderedPageBreak/>
              <w:t>Forventet etableringstid</w:t>
            </w:r>
          </w:p>
        </w:tc>
        <w:tc>
          <w:tcPr>
            <w:tcW w:w="7081" w:type="dxa"/>
            <w:shd w:val="clear" w:color="auto" w:fill="auto"/>
          </w:tcPr>
          <w:p w14:paraId="215CF74B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end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 xml:space="preserve"> mdr.</w:t>
            </w:r>
          </w:p>
        </w:tc>
      </w:tr>
      <w:tr w:rsidR="00275BFC" w:rsidRPr="00275BFC" w14:paraId="0177B34E" w14:textId="77777777" w:rsidTr="002D7A75">
        <w:tc>
          <w:tcPr>
            <w:tcW w:w="2547" w:type="dxa"/>
            <w:shd w:val="clear" w:color="auto" w:fill="auto"/>
          </w:tcPr>
          <w:p w14:paraId="1EFE9C6E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28C3FAC2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2E2438D7" w14:textId="77777777" w:rsidTr="002D7A75">
        <w:tc>
          <w:tcPr>
            <w:tcW w:w="2547" w:type="dxa"/>
            <w:shd w:val="clear" w:color="auto" w:fill="auto"/>
          </w:tcPr>
          <w:p w14:paraId="68266E1B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255AF98C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52ED0679" w14:textId="77777777" w:rsidTr="002D7A75">
        <w:tc>
          <w:tcPr>
            <w:tcW w:w="2547" w:type="dxa"/>
            <w:shd w:val="clear" w:color="auto" w:fill="auto"/>
          </w:tcPr>
          <w:p w14:paraId="3EA566CC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6A658004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A1E34CF" w14:textId="77777777" w:rsidR="00275BFC" w:rsidRPr="00275BFC" w:rsidRDefault="00275BFC" w:rsidP="00275BFC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6143"/>
      </w:tblGrid>
      <w:tr w:rsidR="00275BFC" w:rsidRPr="00275BFC" w14:paraId="6A01C7F9" w14:textId="77777777" w:rsidTr="002D7A75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CD5C6" w14:textId="77777777" w:rsidR="00275BFC" w:rsidRPr="00275BFC" w:rsidRDefault="00275BFC" w:rsidP="00275BFC">
            <w:pPr>
              <w:keepNext/>
              <w:spacing w:before="260" w:after="130" w:line="260" w:lineRule="atLeas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b/>
                <w:color w:val="000000"/>
                <w:sz w:val="18"/>
                <w:szCs w:val="18"/>
                <w:lang w:eastAsia="en-US"/>
              </w:rPr>
              <w:t>Fase 2</w:t>
            </w:r>
          </w:p>
        </w:tc>
      </w:tr>
      <w:tr w:rsidR="00275BFC" w:rsidRPr="00275BFC" w14:paraId="45D18BE5" w14:textId="77777777" w:rsidTr="002D7A75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617A64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73A12D7C" w14:textId="77777777" w:rsidR="00275BFC" w:rsidRPr="00275BFC" w:rsidRDefault="00275BFC" w:rsidP="00275BF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Her kan der listes, hvad fase 2 omfatter.</w:t>
            </w:r>
          </w:p>
          <w:p w14:paraId="095AE21D" w14:textId="77777777" w:rsidR="00275BFC" w:rsidRPr="00275BFC" w:rsidRDefault="00275BFC" w:rsidP="00275BF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y</w:t>
            </w:r>
          </w:p>
          <w:p w14:paraId="7EA133F2" w14:textId="77777777" w:rsidR="00275BFC" w:rsidRPr="00275BFC" w:rsidRDefault="00275BFC" w:rsidP="00275BFC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z</w:t>
            </w:r>
          </w:p>
          <w:p w14:paraId="0952BAB6" w14:textId="77777777" w:rsidR="00275BFC" w:rsidRPr="00275BFC" w:rsidRDefault="00275BFC" w:rsidP="00275BFC">
            <w:pPr>
              <w:spacing w:line="260" w:lineRule="atLeast"/>
              <w:ind w:left="720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23CCF662" w14:textId="77777777" w:rsidTr="002D7A75">
        <w:tc>
          <w:tcPr>
            <w:tcW w:w="2547" w:type="dxa"/>
            <w:shd w:val="clear" w:color="auto" w:fill="auto"/>
          </w:tcPr>
          <w:p w14:paraId="12F09760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sz w:val="18"/>
                <w:szCs w:val="18"/>
                <w:lang w:eastAsia="en-US"/>
              </w:rPr>
              <w:t>Forventet etableringstid</w:t>
            </w:r>
          </w:p>
        </w:tc>
        <w:tc>
          <w:tcPr>
            <w:tcW w:w="7081" w:type="dxa"/>
            <w:shd w:val="clear" w:color="auto" w:fill="auto"/>
          </w:tcPr>
          <w:p w14:paraId="32EC06C8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end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 xml:space="preserve"> mdr.</w:t>
            </w:r>
          </w:p>
        </w:tc>
      </w:tr>
      <w:tr w:rsidR="00275BFC" w:rsidRPr="00275BFC" w14:paraId="51002AB5" w14:textId="77777777" w:rsidTr="002D7A75">
        <w:tc>
          <w:tcPr>
            <w:tcW w:w="2547" w:type="dxa"/>
            <w:shd w:val="clear" w:color="auto" w:fill="auto"/>
          </w:tcPr>
          <w:p w14:paraId="0914CB45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7DC6DC58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378F59B0" w14:textId="77777777" w:rsidTr="002D7A75">
        <w:tc>
          <w:tcPr>
            <w:tcW w:w="2547" w:type="dxa"/>
            <w:shd w:val="clear" w:color="auto" w:fill="auto"/>
          </w:tcPr>
          <w:p w14:paraId="0E733CA5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75EA4614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5AFBD34E" w14:textId="77777777" w:rsidTr="002D7A75">
        <w:tc>
          <w:tcPr>
            <w:tcW w:w="2547" w:type="dxa"/>
            <w:shd w:val="clear" w:color="auto" w:fill="auto"/>
          </w:tcPr>
          <w:p w14:paraId="1170887C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2530C4D5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9E62C75" w14:textId="77777777" w:rsidR="00275BFC" w:rsidRPr="00275BFC" w:rsidRDefault="00275BFC" w:rsidP="00275BFC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1"/>
        <w:gridCol w:w="6143"/>
      </w:tblGrid>
      <w:tr w:rsidR="00275BFC" w:rsidRPr="00275BFC" w14:paraId="7C1E5317" w14:textId="77777777" w:rsidTr="002D7A75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4452A" w14:textId="77777777" w:rsidR="00275BFC" w:rsidRPr="00275BFC" w:rsidRDefault="00275BFC" w:rsidP="00275BFC">
            <w:pPr>
              <w:keepNext/>
              <w:spacing w:before="260" w:after="130" w:line="260" w:lineRule="atLeas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b/>
                <w:color w:val="000000"/>
                <w:sz w:val="18"/>
                <w:szCs w:val="18"/>
                <w:lang w:eastAsia="en-US"/>
              </w:rPr>
              <w:t>Fase 3</w:t>
            </w:r>
          </w:p>
        </w:tc>
      </w:tr>
      <w:tr w:rsidR="00275BFC" w:rsidRPr="00275BFC" w14:paraId="74B6F3D4" w14:textId="77777777" w:rsidTr="002D7A75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669CB5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25968F44" w14:textId="77777777" w:rsidR="00275BFC" w:rsidRPr="00275BFC" w:rsidRDefault="00275BFC" w:rsidP="00275BF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Her kan der listes, hvad fase 3 omfatter.</w:t>
            </w:r>
          </w:p>
          <w:p w14:paraId="1C02F06F" w14:textId="77777777" w:rsidR="00275BFC" w:rsidRPr="00275BFC" w:rsidRDefault="00275BFC" w:rsidP="00275BF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y</w:t>
            </w:r>
          </w:p>
          <w:p w14:paraId="37CE85CD" w14:textId="77777777" w:rsidR="00275BFC" w:rsidRPr="00275BFC" w:rsidRDefault="00275BFC" w:rsidP="00275BFC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z</w:t>
            </w:r>
          </w:p>
          <w:p w14:paraId="08EFDB26" w14:textId="77777777" w:rsidR="00275BFC" w:rsidRPr="00275BFC" w:rsidRDefault="00275BFC" w:rsidP="00275BFC">
            <w:pPr>
              <w:spacing w:line="260" w:lineRule="atLeast"/>
              <w:ind w:left="720"/>
              <w:contextualSpacing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30265FCB" w14:textId="77777777" w:rsidTr="002D7A75">
        <w:tc>
          <w:tcPr>
            <w:tcW w:w="2547" w:type="dxa"/>
            <w:shd w:val="clear" w:color="auto" w:fill="auto"/>
          </w:tcPr>
          <w:p w14:paraId="29B5009B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sz w:val="18"/>
                <w:szCs w:val="18"/>
                <w:lang w:eastAsia="en-US"/>
              </w:rPr>
              <w:t>Forventet etableringstid</w:t>
            </w:r>
          </w:p>
        </w:tc>
        <w:tc>
          <w:tcPr>
            <w:tcW w:w="7081" w:type="dxa"/>
            <w:shd w:val="clear" w:color="auto" w:fill="auto"/>
          </w:tcPr>
          <w:p w14:paraId="1FE50610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> </w:t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fldChar w:fldCharType="end"/>
            </w:r>
            <w:r w:rsidRPr="00275BFC">
              <w:rPr>
                <w:rFonts w:eastAsia="Arial" w:cs="Arial"/>
                <w:color w:val="000000"/>
                <w:sz w:val="18"/>
                <w:szCs w:val="18"/>
                <w:lang w:eastAsia="en-US"/>
              </w:rPr>
              <w:t xml:space="preserve"> mdr.</w:t>
            </w:r>
          </w:p>
        </w:tc>
      </w:tr>
      <w:tr w:rsidR="00275BFC" w:rsidRPr="00275BFC" w14:paraId="1F16E25A" w14:textId="77777777" w:rsidTr="002D7A75">
        <w:tc>
          <w:tcPr>
            <w:tcW w:w="2547" w:type="dxa"/>
            <w:shd w:val="clear" w:color="auto" w:fill="auto"/>
          </w:tcPr>
          <w:p w14:paraId="4B35A944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64AB6A38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326F90FB" w14:textId="77777777" w:rsidTr="002D7A75">
        <w:tc>
          <w:tcPr>
            <w:tcW w:w="2547" w:type="dxa"/>
            <w:shd w:val="clear" w:color="auto" w:fill="auto"/>
          </w:tcPr>
          <w:p w14:paraId="4BF661C6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4611C2EB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75BFC" w:rsidRPr="00275BFC" w14:paraId="3A93436B" w14:textId="77777777" w:rsidTr="002D7A75">
        <w:tc>
          <w:tcPr>
            <w:tcW w:w="2547" w:type="dxa"/>
            <w:shd w:val="clear" w:color="auto" w:fill="auto"/>
          </w:tcPr>
          <w:p w14:paraId="7D19BE54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1" w:type="dxa"/>
            <w:shd w:val="clear" w:color="auto" w:fill="auto"/>
          </w:tcPr>
          <w:p w14:paraId="5FA791DA" w14:textId="77777777" w:rsidR="00275BFC" w:rsidRPr="00275BFC" w:rsidRDefault="00275BFC" w:rsidP="00275BFC">
            <w:pPr>
              <w:spacing w:line="260" w:lineRule="atLeast"/>
              <w:rPr>
                <w:rFonts w:eastAsia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E8E36F0" w14:textId="77777777" w:rsidR="00275BFC" w:rsidRPr="00275BFC" w:rsidRDefault="00275BFC" w:rsidP="00275BFC">
      <w:pPr>
        <w:pBdr>
          <w:bottom w:val="single" w:sz="12" w:space="1" w:color="auto"/>
        </w:pBdr>
        <w:spacing w:after="160" w:line="259" w:lineRule="auto"/>
        <w:rPr>
          <w:rFonts w:eastAsia="Calibri"/>
          <w:i/>
          <w:sz w:val="18"/>
          <w:szCs w:val="18"/>
          <w:lang w:eastAsia="en-US"/>
        </w:rPr>
      </w:pPr>
    </w:p>
    <w:p w14:paraId="70DE7192" w14:textId="77777777" w:rsidR="00275BFC" w:rsidRPr="00275BFC" w:rsidRDefault="00275BFC" w:rsidP="00275BFC">
      <w:pPr>
        <w:keepNext/>
        <w:spacing w:before="260" w:after="130" w:line="260" w:lineRule="exact"/>
        <w:rPr>
          <w:b/>
          <w:caps/>
          <w:spacing w:val="5"/>
          <w:sz w:val="18"/>
          <w:szCs w:val="18"/>
          <w:lang w:eastAsia="en-US"/>
        </w:rPr>
      </w:pPr>
      <w:r w:rsidRPr="00275BFC">
        <w:rPr>
          <w:b/>
          <w:caps/>
          <w:spacing w:val="5"/>
          <w:sz w:val="18"/>
          <w:szCs w:val="18"/>
          <w:lang w:eastAsia="en-US"/>
        </w:rPr>
        <w:t>Økonomiske elementer vedr. nettilslutningen</w:t>
      </w:r>
    </w:p>
    <w:p w14:paraId="20B7ECD2" w14:textId="77777777" w:rsidR="00275BFC" w:rsidRPr="00275BFC" w:rsidRDefault="00275BFC" w:rsidP="00275BFC">
      <w:pPr>
        <w:spacing w:after="160" w:line="256" w:lineRule="auto"/>
        <w:rPr>
          <w:rFonts w:eastAsia="Calibri"/>
          <w:b/>
          <w:bCs/>
          <w:sz w:val="18"/>
          <w:szCs w:val="18"/>
          <w:lang w:eastAsia="en-US"/>
        </w:rPr>
      </w:pPr>
      <w:r w:rsidRPr="00275BFC">
        <w:rPr>
          <w:rFonts w:eastAsia="Calibri"/>
          <w:b/>
          <w:bCs/>
          <w:sz w:val="18"/>
          <w:szCs w:val="18"/>
          <w:lang w:eastAsia="en-US"/>
        </w:rPr>
        <w:t xml:space="preserve">Produktionsanlægget </w:t>
      </w:r>
      <w:proofErr w:type="spellStart"/>
      <w:r w:rsidRPr="00275BFC">
        <w:rPr>
          <w:rFonts w:eastAsia="Calibri"/>
          <w:b/>
          <w:bCs/>
          <w:sz w:val="18"/>
          <w:szCs w:val="18"/>
          <w:lang w:eastAsia="en-US"/>
        </w:rPr>
        <w:t>nettilsluttes</w:t>
      </w:r>
      <w:proofErr w:type="spellEnd"/>
    </w:p>
    <w:p w14:paraId="4B04F4A7" w14:textId="77777777" w:rsidR="00275BFC" w:rsidRPr="00275BFC" w:rsidRDefault="00275BFC" w:rsidP="00275BFC">
      <w:pPr>
        <w:spacing w:after="160" w:line="256" w:lineRule="auto"/>
        <w:rPr>
          <w:rFonts w:eastAsia="Calibri"/>
          <w:sz w:val="18"/>
          <w:szCs w:val="18"/>
          <w:lang w:eastAsia="en-US"/>
        </w:rPr>
      </w:pPr>
      <w:r w:rsidRPr="00275BFC">
        <w:rPr>
          <w:rFonts w:eastAsia="Calibri"/>
          <w:sz w:val="18"/>
          <w:szCs w:val="18"/>
          <w:lang w:eastAsia="en-US"/>
        </w:rPr>
        <w:t xml:space="preserve">Hvis Produktionsanlægget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nettilsluttes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, skal Anlægsejer betale tilslutningsbidraget til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/>
          <w:sz w:val="18"/>
          <w:szCs w:val="18"/>
          <w:lang w:eastAsia="en-US"/>
        </w:rPr>
        <w:t xml:space="preserve"> </w:t>
      </w:r>
      <w:r w:rsidRPr="00275BFC">
        <w:rPr>
          <w:rFonts w:eastAsia="Calibri"/>
          <w:sz w:val="18"/>
          <w:szCs w:val="18"/>
          <w:lang w:eastAsia="en-US"/>
        </w:rPr>
        <w:t xml:space="preserve">samt øvrige omkostninger, som efter gældende lovgivning påhviler Anlægsejer, herunder sagsbehandlingsomkostninger og omkostninger til måling. </w:t>
      </w:r>
    </w:p>
    <w:p w14:paraId="182A85A2" w14:textId="77777777" w:rsidR="00275BFC" w:rsidRPr="00275BFC" w:rsidRDefault="00275BFC" w:rsidP="00275BFC">
      <w:pPr>
        <w:spacing w:after="160" w:line="256" w:lineRule="auto"/>
        <w:rPr>
          <w:rFonts w:eastAsia="Calibri"/>
          <w:sz w:val="18"/>
          <w:szCs w:val="18"/>
          <w:lang w:eastAsia="en-US"/>
        </w:rPr>
      </w:pPr>
      <w:r w:rsidRPr="00275BFC">
        <w:rPr>
          <w:rFonts w:eastAsia="Arial"/>
          <w:sz w:val="18"/>
          <w:szCs w:val="18"/>
          <w:lang w:eastAsia="en-US"/>
        </w:rPr>
        <w:t xml:space="preserve">Tilslutningsbidraget forfalder til betaling til </w:t>
      </w:r>
      <w:proofErr w:type="spellStart"/>
      <w:r w:rsidRPr="00275BFC">
        <w:rPr>
          <w:rFonts w:eastAsia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/>
          <w:sz w:val="18"/>
          <w:szCs w:val="18"/>
          <w:lang w:eastAsia="en-US"/>
        </w:rPr>
        <w:t>, når Produktionsanlægget for første gang leverer elektricitet til Det Kollektive Elforsyningsnet.</w:t>
      </w:r>
    </w:p>
    <w:p w14:paraId="32555EF6" w14:textId="77777777" w:rsidR="00275BFC" w:rsidRPr="00275BFC" w:rsidRDefault="00275BFC" w:rsidP="00275BFC">
      <w:pPr>
        <w:spacing w:after="160" w:line="256" w:lineRule="auto"/>
        <w:rPr>
          <w:rFonts w:eastAsia="Calibri"/>
          <w:b/>
          <w:bCs/>
          <w:sz w:val="18"/>
          <w:szCs w:val="18"/>
          <w:lang w:eastAsia="en-US"/>
        </w:rPr>
      </w:pPr>
      <w:r w:rsidRPr="00275BFC">
        <w:rPr>
          <w:rFonts w:eastAsia="Calibri"/>
          <w:b/>
          <w:bCs/>
          <w:sz w:val="18"/>
          <w:szCs w:val="18"/>
          <w:lang w:eastAsia="en-US"/>
        </w:rPr>
        <w:t xml:space="preserve">Produktionsanlægget </w:t>
      </w:r>
      <w:proofErr w:type="spellStart"/>
      <w:r w:rsidRPr="00275BFC">
        <w:rPr>
          <w:rFonts w:eastAsia="Calibri"/>
          <w:b/>
          <w:bCs/>
          <w:sz w:val="18"/>
          <w:szCs w:val="18"/>
          <w:lang w:eastAsia="en-US"/>
        </w:rPr>
        <w:t>nettilsluttes</w:t>
      </w:r>
      <w:proofErr w:type="spellEnd"/>
      <w:r w:rsidRPr="00275BFC">
        <w:rPr>
          <w:rFonts w:eastAsia="Calibri"/>
          <w:b/>
          <w:bCs/>
          <w:sz w:val="18"/>
          <w:szCs w:val="18"/>
          <w:lang w:eastAsia="en-US"/>
        </w:rPr>
        <w:t xml:space="preserve"> ikke</w:t>
      </w:r>
    </w:p>
    <w:p w14:paraId="1028C54F" w14:textId="77777777" w:rsidR="00275BFC" w:rsidRPr="00275BFC" w:rsidRDefault="00275BFC" w:rsidP="00275BFC">
      <w:pPr>
        <w:spacing w:line="260" w:lineRule="atLeast"/>
        <w:rPr>
          <w:rFonts w:eastAsia="Arial" w:cs="Arial"/>
          <w:sz w:val="18"/>
          <w:szCs w:val="18"/>
          <w:lang w:eastAsia="en-US"/>
        </w:rPr>
      </w:pPr>
      <w:r w:rsidRPr="00275BFC">
        <w:rPr>
          <w:rFonts w:eastAsia="Arial" w:cs="Arial"/>
          <w:sz w:val="18"/>
          <w:szCs w:val="18"/>
          <w:lang w:eastAsia="en-US"/>
        </w:rPr>
        <w:t xml:space="preserve">Hvis Produktionsanlægget ikke </w:t>
      </w:r>
      <w:proofErr w:type="spellStart"/>
      <w:r w:rsidRPr="00275BFC">
        <w:rPr>
          <w:rFonts w:eastAsia="Arial" w:cs="Arial"/>
          <w:sz w:val="18"/>
          <w:szCs w:val="18"/>
          <w:lang w:eastAsia="en-US"/>
        </w:rPr>
        <w:t>nettilsluttes</w:t>
      </w:r>
      <w:proofErr w:type="spellEnd"/>
      <w:r w:rsidRPr="00275BFC">
        <w:rPr>
          <w:rFonts w:eastAsia="Arial" w:cs="Arial"/>
          <w:sz w:val="18"/>
          <w:szCs w:val="18"/>
          <w:lang w:eastAsia="en-US"/>
        </w:rPr>
        <w:t xml:space="preserve">, skal Anlægsejer betale samtlige af de faktiske omkostninger, </w:t>
      </w:r>
      <w:r w:rsidRPr="00275BFC">
        <w:rPr>
          <w:rFonts w:eastAsia="Arial"/>
          <w:sz w:val="18"/>
          <w:szCs w:val="18"/>
          <w:lang w:eastAsia="en-US"/>
        </w:rPr>
        <w:t>herunder sagsbehandlingsomkostninger og omkostninger til måling,</w:t>
      </w:r>
      <w:r w:rsidRPr="00275BFC">
        <w:rPr>
          <w:rFonts w:eastAsia="Arial" w:cs="Arial"/>
          <w:sz w:val="18"/>
          <w:szCs w:val="18"/>
          <w:lang w:eastAsia="en-US"/>
        </w:rPr>
        <w:t xml:space="preserve"> som </w:t>
      </w:r>
      <w:proofErr w:type="spellStart"/>
      <w:r w:rsidRPr="00275BFC">
        <w:rPr>
          <w:rFonts w:eastAsia="Arial" w:cs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 w:cs="Arial"/>
          <w:sz w:val="18"/>
          <w:szCs w:val="18"/>
          <w:lang w:eastAsia="en-US"/>
        </w:rPr>
        <w:t xml:space="preserve"> har pådraget sig med henblik på </w:t>
      </w:r>
      <w:proofErr w:type="spellStart"/>
      <w:r w:rsidRPr="00275BFC">
        <w:rPr>
          <w:rFonts w:eastAsia="Arial" w:cs="Arial"/>
          <w:sz w:val="18"/>
          <w:szCs w:val="18"/>
          <w:lang w:eastAsia="en-US"/>
        </w:rPr>
        <w:t>nettilslutningen</w:t>
      </w:r>
      <w:proofErr w:type="spellEnd"/>
      <w:r w:rsidRPr="00275BFC">
        <w:rPr>
          <w:rFonts w:eastAsia="Arial" w:cs="Arial"/>
          <w:sz w:val="18"/>
          <w:szCs w:val="18"/>
          <w:lang w:eastAsia="en-US"/>
        </w:rPr>
        <w:t xml:space="preserve"> af Produktionsanlægget, dog højest et beløb svarende til størrelsen af tilslutningsbidraget som fastsat i Aftalens pkt</w:t>
      </w:r>
      <w:r w:rsidRPr="00275BFC">
        <w:rPr>
          <w:rFonts w:eastAsia="Arial"/>
          <w:sz w:val="18"/>
          <w:szCs w:val="18"/>
          <w:lang w:eastAsia="en-US"/>
        </w:rPr>
        <w:t>. 2.2</w:t>
      </w:r>
      <w:r w:rsidRPr="00275BFC">
        <w:rPr>
          <w:rFonts w:eastAsia="Calibri"/>
          <w:sz w:val="18"/>
          <w:szCs w:val="18"/>
          <w:lang w:eastAsia="en-US"/>
        </w:rPr>
        <w:t xml:space="preserve">. </w:t>
      </w:r>
      <w:r w:rsidRPr="00275BFC">
        <w:rPr>
          <w:rFonts w:eastAsia="Arial" w:cs="Arial"/>
          <w:sz w:val="18"/>
          <w:szCs w:val="18"/>
          <w:lang w:eastAsia="en-US"/>
        </w:rPr>
        <w:t xml:space="preserve"> </w:t>
      </w:r>
    </w:p>
    <w:p w14:paraId="0726152F" w14:textId="77777777" w:rsidR="00275BFC" w:rsidRPr="00275BFC" w:rsidRDefault="00275BFC" w:rsidP="00275BFC">
      <w:pPr>
        <w:spacing w:line="260" w:lineRule="atLeast"/>
        <w:rPr>
          <w:rFonts w:eastAsia="Arial" w:cs="Arial"/>
          <w:sz w:val="18"/>
          <w:szCs w:val="18"/>
          <w:lang w:eastAsia="en-US"/>
        </w:rPr>
      </w:pPr>
    </w:p>
    <w:p w14:paraId="5B07695D" w14:textId="77777777" w:rsidR="00275BFC" w:rsidRPr="00275BFC" w:rsidRDefault="00275BFC" w:rsidP="00275BFC">
      <w:pPr>
        <w:spacing w:line="260" w:lineRule="atLeast"/>
        <w:rPr>
          <w:rFonts w:eastAsia="Arial" w:cs="Arial"/>
          <w:sz w:val="18"/>
          <w:szCs w:val="18"/>
          <w:lang w:eastAsia="en-US"/>
        </w:rPr>
      </w:pPr>
      <w:r w:rsidRPr="00275BFC">
        <w:rPr>
          <w:rFonts w:eastAsia="Arial" w:cs="Arial"/>
          <w:sz w:val="18"/>
          <w:szCs w:val="18"/>
          <w:lang w:eastAsia="en-US"/>
        </w:rPr>
        <w:t>De omkostninger som Anlægsejer skal betale, kan bl.a. indeholde:</w:t>
      </w:r>
    </w:p>
    <w:p w14:paraId="466204F4" w14:textId="77777777" w:rsidR="00275BFC" w:rsidRPr="00275BFC" w:rsidRDefault="00275BFC" w:rsidP="00275BFC">
      <w:pPr>
        <w:spacing w:line="260" w:lineRule="atLeast"/>
        <w:rPr>
          <w:rFonts w:eastAsia="Arial" w:cs="Arial"/>
          <w:sz w:val="18"/>
          <w:szCs w:val="18"/>
          <w:lang w:eastAsia="en-US"/>
        </w:rPr>
      </w:pPr>
    </w:p>
    <w:p w14:paraId="3964DB42" w14:textId="77777777" w:rsidR="00275BFC" w:rsidRPr="00275BFC" w:rsidRDefault="00275BFC" w:rsidP="00275BFC">
      <w:pPr>
        <w:numPr>
          <w:ilvl w:val="0"/>
          <w:numId w:val="6"/>
        </w:numPr>
        <w:spacing w:line="260" w:lineRule="atLeast"/>
        <w:contextualSpacing/>
        <w:rPr>
          <w:rFonts w:eastAsia="Arial" w:cs="Arial"/>
          <w:color w:val="000000"/>
          <w:sz w:val="18"/>
          <w:szCs w:val="18"/>
          <w:lang w:eastAsia="en-US"/>
        </w:rPr>
      </w:pPr>
      <w:r w:rsidRPr="00275BFC">
        <w:rPr>
          <w:rFonts w:eastAsia="Arial" w:cs="Arial"/>
          <w:sz w:val="18"/>
          <w:szCs w:val="18"/>
          <w:lang w:eastAsia="en-US"/>
        </w:rPr>
        <w:t xml:space="preserve">Omkostninger som </w:t>
      </w:r>
      <w:proofErr w:type="spellStart"/>
      <w:r w:rsidRPr="00275BFC">
        <w:rPr>
          <w:rFonts w:eastAsia="Arial" w:cs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 w:cs="Arial"/>
          <w:sz w:val="18"/>
          <w:szCs w:val="18"/>
          <w:lang w:eastAsia="en-US"/>
        </w:rPr>
        <w:t xml:space="preserve"> har afholdt eller pådraget sig, </w:t>
      </w:r>
    </w:p>
    <w:p w14:paraId="6D3C4BEA" w14:textId="77777777" w:rsidR="00275BFC" w:rsidRPr="00275BFC" w:rsidRDefault="00275BFC" w:rsidP="00275BFC">
      <w:pPr>
        <w:numPr>
          <w:ilvl w:val="0"/>
          <w:numId w:val="6"/>
        </w:numPr>
        <w:spacing w:line="260" w:lineRule="atLeast"/>
        <w:contextualSpacing/>
        <w:rPr>
          <w:rFonts w:eastAsia="Arial" w:cs="Arial"/>
          <w:color w:val="000000"/>
          <w:sz w:val="18"/>
          <w:szCs w:val="18"/>
          <w:lang w:eastAsia="en-US"/>
        </w:rPr>
      </w:pPr>
      <w:r w:rsidRPr="00275BFC">
        <w:rPr>
          <w:rFonts w:eastAsia="Arial" w:cs="Arial"/>
          <w:color w:val="000000"/>
          <w:sz w:val="18"/>
          <w:szCs w:val="18"/>
          <w:lang w:eastAsia="en-US"/>
        </w:rPr>
        <w:t xml:space="preserve">Omkostninger til de arbejder, som er udført eller udføres af eller for </w:t>
      </w:r>
      <w:proofErr w:type="spellStart"/>
      <w:r w:rsidRPr="00275BFC">
        <w:rPr>
          <w:rFonts w:eastAsia="Arial" w:cs="Arial"/>
          <w:color w:val="000000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 w:cs="Arial"/>
          <w:color w:val="000000"/>
          <w:sz w:val="18"/>
          <w:szCs w:val="18"/>
          <w:lang w:eastAsia="en-US"/>
        </w:rPr>
        <w:t xml:space="preserve">, og </w:t>
      </w:r>
    </w:p>
    <w:p w14:paraId="3D394126" w14:textId="77777777" w:rsidR="00275BFC" w:rsidRPr="00275BFC" w:rsidRDefault="00275BFC" w:rsidP="00275BFC">
      <w:pPr>
        <w:numPr>
          <w:ilvl w:val="0"/>
          <w:numId w:val="6"/>
        </w:numPr>
        <w:spacing w:line="260" w:lineRule="atLeast"/>
        <w:contextualSpacing/>
        <w:rPr>
          <w:rFonts w:eastAsia="Arial" w:cs="Arial"/>
          <w:color w:val="000000"/>
          <w:sz w:val="18"/>
          <w:szCs w:val="18"/>
          <w:lang w:eastAsia="en-US"/>
        </w:rPr>
      </w:pPr>
      <w:r w:rsidRPr="00275BFC">
        <w:rPr>
          <w:rFonts w:eastAsia="Arial" w:cs="Arial"/>
          <w:color w:val="000000"/>
          <w:sz w:val="18"/>
          <w:szCs w:val="18"/>
          <w:lang w:eastAsia="en-US"/>
        </w:rPr>
        <w:t xml:space="preserve">Omkostninger som </w:t>
      </w:r>
      <w:proofErr w:type="spellStart"/>
      <w:r w:rsidRPr="00275BFC">
        <w:rPr>
          <w:rFonts w:eastAsia="Arial" w:cs="Arial"/>
          <w:color w:val="000000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 w:cs="Arial"/>
          <w:color w:val="000000"/>
          <w:sz w:val="18"/>
          <w:szCs w:val="18"/>
          <w:lang w:eastAsia="en-US"/>
        </w:rPr>
        <w:t xml:space="preserve"> kontraktligt er forpligtet til at lade tredjemand udføre.</w:t>
      </w:r>
    </w:p>
    <w:p w14:paraId="5885336F" w14:textId="77777777" w:rsidR="00275BFC" w:rsidRPr="00275BFC" w:rsidRDefault="00275BFC" w:rsidP="00275BFC">
      <w:pPr>
        <w:spacing w:line="260" w:lineRule="atLeast"/>
        <w:rPr>
          <w:rFonts w:eastAsia="Arial" w:cs="Arial"/>
          <w:color w:val="000000"/>
          <w:sz w:val="18"/>
          <w:szCs w:val="18"/>
          <w:lang w:eastAsia="en-US"/>
        </w:rPr>
      </w:pPr>
    </w:p>
    <w:p w14:paraId="091300FE" w14:textId="77777777" w:rsidR="00275BFC" w:rsidRPr="00275BFC" w:rsidRDefault="00275BFC" w:rsidP="00275BFC">
      <w:pPr>
        <w:spacing w:line="260" w:lineRule="atLeast"/>
        <w:rPr>
          <w:rFonts w:eastAsia="Arial" w:cs="Arial"/>
          <w:color w:val="000000"/>
          <w:sz w:val="18"/>
          <w:szCs w:val="18"/>
          <w:lang w:eastAsia="en-US"/>
        </w:rPr>
      </w:pPr>
      <w:r w:rsidRPr="00275BFC">
        <w:rPr>
          <w:rFonts w:eastAsia="Arial" w:cs="Arial"/>
          <w:color w:val="000000"/>
          <w:sz w:val="18"/>
          <w:szCs w:val="18"/>
          <w:lang w:eastAsia="en-US"/>
        </w:rPr>
        <w:t xml:space="preserve">Omkostningerne vedrører navnlig følgende arbejder til udbygning og forstærkning af Det Kollektive Elforsyningsnet samt etablering af </w:t>
      </w:r>
      <w:proofErr w:type="spellStart"/>
      <w:r w:rsidRPr="00275BFC">
        <w:rPr>
          <w:rFonts w:eastAsia="Arial" w:cs="Arial"/>
          <w:color w:val="000000"/>
          <w:sz w:val="18"/>
          <w:szCs w:val="18"/>
          <w:lang w:eastAsia="en-US"/>
        </w:rPr>
        <w:t>Nettilslutningspunktet</w:t>
      </w:r>
      <w:proofErr w:type="spellEnd"/>
      <w:r w:rsidRPr="00275BFC">
        <w:rPr>
          <w:rFonts w:eastAsia="Arial" w:cs="Arial"/>
          <w:color w:val="000000"/>
          <w:sz w:val="18"/>
          <w:szCs w:val="18"/>
          <w:lang w:eastAsia="en-US"/>
        </w:rPr>
        <w:t>:</w:t>
      </w:r>
    </w:p>
    <w:p w14:paraId="3919D7AE" w14:textId="77777777" w:rsidR="00275BFC" w:rsidRPr="00275BFC" w:rsidRDefault="00275BFC" w:rsidP="00275BFC">
      <w:pPr>
        <w:spacing w:line="260" w:lineRule="atLeast"/>
        <w:rPr>
          <w:rFonts w:eastAsia="Arial" w:cs="Arial"/>
          <w:color w:val="000000"/>
          <w:sz w:val="18"/>
          <w:szCs w:val="18"/>
          <w:lang w:eastAsia="en-US"/>
        </w:rPr>
      </w:pPr>
    </w:p>
    <w:p w14:paraId="2F740C06" w14:textId="77777777" w:rsidR="00275BFC" w:rsidRPr="00275BFC" w:rsidRDefault="00275BFC" w:rsidP="00275BFC">
      <w:pPr>
        <w:spacing w:line="260" w:lineRule="atLeast"/>
        <w:rPr>
          <w:rFonts w:eastAsia="Arial" w:cs="Arial"/>
          <w:i/>
          <w:iCs/>
          <w:color w:val="000000"/>
          <w:sz w:val="18"/>
          <w:szCs w:val="18"/>
          <w:lang w:eastAsia="en-US"/>
        </w:rPr>
      </w:pPr>
      <w:r w:rsidRPr="00275BFC">
        <w:rPr>
          <w:rFonts w:eastAsia="Arial" w:cs="Arial"/>
          <w:color w:val="000000"/>
          <w:sz w:val="18"/>
          <w:szCs w:val="18"/>
          <w:lang w:eastAsia="en-US"/>
        </w:rPr>
        <w:t>[</w:t>
      </w:r>
      <w:r w:rsidRPr="00275BFC">
        <w:rPr>
          <w:rFonts w:eastAsia="Arial" w:cs="Arial"/>
          <w:i/>
          <w:iCs/>
          <w:color w:val="000000"/>
          <w:sz w:val="18"/>
          <w:szCs w:val="18"/>
          <w:lang w:eastAsia="en-US"/>
        </w:rPr>
        <w:t xml:space="preserve">Det vil afhænge af det konkrete projekt hvilke omkostninger, der er relevante at opliste her. Listen nedenfor er derfor alene et eksempel </w:t>
      </w:r>
    </w:p>
    <w:p w14:paraId="11FE058B" w14:textId="77777777" w:rsidR="00275BFC" w:rsidRPr="00275BFC" w:rsidRDefault="00275BFC" w:rsidP="00275BFC">
      <w:pPr>
        <w:spacing w:line="260" w:lineRule="atLeast"/>
        <w:rPr>
          <w:rFonts w:eastAsia="Arial" w:cs="Arial"/>
          <w:i/>
          <w:iCs/>
          <w:color w:val="000000"/>
          <w:sz w:val="18"/>
          <w:szCs w:val="18"/>
          <w:lang w:eastAsia="en-US"/>
        </w:rPr>
      </w:pPr>
    </w:p>
    <w:p w14:paraId="59276449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i/>
          <w:iCs/>
          <w:sz w:val="18"/>
          <w:szCs w:val="18"/>
          <w:lang w:eastAsia="en-US"/>
        </w:rPr>
      </w:pPr>
      <w:r w:rsidRPr="00275BFC">
        <w:rPr>
          <w:rFonts w:eastAsia="Calibri" w:cs="Arial"/>
          <w:i/>
          <w:iCs/>
          <w:sz w:val="18"/>
          <w:szCs w:val="18"/>
          <w:lang w:eastAsia="en-US"/>
        </w:rPr>
        <w:t>Detailprojektering af projektet</w:t>
      </w:r>
    </w:p>
    <w:p w14:paraId="573F2699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i/>
          <w:iCs/>
          <w:sz w:val="18"/>
          <w:szCs w:val="18"/>
          <w:lang w:eastAsia="en-US"/>
        </w:rPr>
      </w:pPr>
      <w:r w:rsidRPr="00275BFC">
        <w:rPr>
          <w:rFonts w:eastAsia="Calibri" w:cs="Arial"/>
          <w:i/>
          <w:iCs/>
          <w:sz w:val="18"/>
          <w:szCs w:val="18"/>
          <w:lang w:eastAsia="en-US"/>
        </w:rPr>
        <w:t>Udførelse af en 50/60 kV kabelforbindelse</w:t>
      </w:r>
    </w:p>
    <w:p w14:paraId="2CB8B2DF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i/>
          <w:iCs/>
          <w:sz w:val="18"/>
          <w:szCs w:val="18"/>
          <w:lang w:eastAsia="en-US"/>
        </w:rPr>
      </w:pPr>
      <w:r w:rsidRPr="00275BFC">
        <w:rPr>
          <w:rFonts w:eastAsia="Calibri" w:cs="Arial"/>
          <w:i/>
          <w:iCs/>
          <w:sz w:val="18"/>
          <w:szCs w:val="18"/>
          <w:lang w:eastAsia="en-US"/>
        </w:rPr>
        <w:t xml:space="preserve">Udbygning af 50/60 kV stationer, indeholdende stationskomponenter samt andre stationsforhold </w:t>
      </w:r>
    </w:p>
    <w:p w14:paraId="44B2CF15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i/>
          <w:iCs/>
          <w:sz w:val="18"/>
          <w:szCs w:val="18"/>
          <w:lang w:eastAsia="en-US"/>
        </w:rPr>
      </w:pPr>
      <w:r w:rsidRPr="00275BFC">
        <w:rPr>
          <w:rFonts w:eastAsia="Calibri" w:cs="Arial"/>
          <w:i/>
          <w:iCs/>
          <w:sz w:val="18"/>
          <w:szCs w:val="18"/>
          <w:lang w:eastAsia="en-US"/>
        </w:rPr>
        <w:t>Etablering og det udførende arbejde</w:t>
      </w:r>
      <w:r w:rsidRPr="00275BFC">
        <w:rPr>
          <w:rFonts w:eastAsia="Calibri"/>
          <w:iCs/>
          <w:sz w:val="18"/>
          <w:szCs w:val="18"/>
          <w:lang w:eastAsia="en-US"/>
        </w:rPr>
        <w:t xml:space="preserve"> </w:t>
      </w:r>
    </w:p>
    <w:p w14:paraId="1ABF29B4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i/>
          <w:iCs/>
          <w:sz w:val="18"/>
          <w:szCs w:val="18"/>
          <w:lang w:eastAsia="en-US"/>
        </w:rPr>
      </w:pPr>
      <w:r w:rsidRPr="00275BFC">
        <w:rPr>
          <w:rFonts w:eastAsia="Calibri" w:cs="Arial"/>
          <w:i/>
          <w:iCs/>
          <w:sz w:val="18"/>
          <w:szCs w:val="18"/>
          <w:lang w:eastAsia="en-US"/>
        </w:rPr>
        <w:t>Demontering af arbejder.</w:t>
      </w:r>
    </w:p>
    <w:p w14:paraId="32AFA666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i/>
          <w:iCs/>
          <w:sz w:val="18"/>
          <w:szCs w:val="18"/>
          <w:lang w:eastAsia="en-US"/>
        </w:rPr>
      </w:pPr>
      <w:r w:rsidRPr="00275BFC">
        <w:rPr>
          <w:rFonts w:eastAsia="Calibri" w:cs="Arial"/>
          <w:i/>
          <w:iCs/>
          <w:sz w:val="18"/>
          <w:szCs w:val="18"/>
          <w:lang w:eastAsia="en-US"/>
        </w:rPr>
        <w:t>Sagsbehandlingsomkostninger</w:t>
      </w:r>
      <w:r w:rsidRPr="00275BFC">
        <w:rPr>
          <w:rFonts w:eastAsia="Calibri" w:cs="Arial"/>
          <w:sz w:val="18"/>
          <w:szCs w:val="18"/>
          <w:lang w:eastAsia="en-US"/>
        </w:rPr>
        <w:t>]</w:t>
      </w:r>
    </w:p>
    <w:p w14:paraId="178F5FE3" w14:textId="77777777" w:rsidR="00275BFC" w:rsidRPr="00275BFC" w:rsidRDefault="00275BFC" w:rsidP="00275BFC">
      <w:pPr>
        <w:spacing w:after="160" w:line="259" w:lineRule="auto"/>
        <w:rPr>
          <w:rFonts w:eastAsia="Calibri"/>
          <w:iCs/>
          <w:sz w:val="18"/>
          <w:szCs w:val="18"/>
          <w:lang w:eastAsia="en-US"/>
        </w:rPr>
      </w:pPr>
    </w:p>
    <w:p w14:paraId="725E5038" w14:textId="77777777" w:rsidR="00275BFC" w:rsidRPr="00275BFC" w:rsidRDefault="00275BFC" w:rsidP="00275BFC">
      <w:pPr>
        <w:spacing w:after="160" w:line="259" w:lineRule="auto"/>
        <w:rPr>
          <w:rFonts w:eastAsia="Calibri"/>
          <w:iCs/>
          <w:sz w:val="18"/>
          <w:szCs w:val="18"/>
          <w:lang w:eastAsia="en-US"/>
        </w:rPr>
      </w:pPr>
      <w:r w:rsidRPr="00275BFC">
        <w:rPr>
          <w:rFonts w:eastAsia="Calibri"/>
          <w:iCs/>
          <w:sz w:val="18"/>
          <w:szCs w:val="18"/>
          <w:lang w:eastAsia="en-US"/>
        </w:rPr>
        <w:t xml:space="preserve">Omkostningerne omfatter både eksterne og interne omkostninger (intern medgået tid afregnes til </w:t>
      </w:r>
      <w:proofErr w:type="spellStart"/>
      <w:r w:rsidRPr="00275BFC">
        <w:rPr>
          <w:rFonts w:eastAsia="Calibri"/>
          <w:iCs/>
          <w:sz w:val="18"/>
          <w:szCs w:val="18"/>
          <w:lang w:eastAsia="en-US"/>
        </w:rPr>
        <w:t>Netselskabets</w:t>
      </w:r>
      <w:proofErr w:type="spellEnd"/>
      <w:r w:rsidRPr="00275BFC">
        <w:rPr>
          <w:rFonts w:eastAsia="Calibri"/>
          <w:iCs/>
          <w:sz w:val="18"/>
          <w:szCs w:val="18"/>
          <w:lang w:eastAsia="en-US"/>
        </w:rPr>
        <w:t xml:space="preserve"> normale timetakster), herunder eventuelle reetableringsomkostninger. </w:t>
      </w:r>
    </w:p>
    <w:p w14:paraId="27385C7F" w14:textId="77777777" w:rsidR="00275BFC" w:rsidRPr="00275BFC" w:rsidRDefault="00275BFC" w:rsidP="00275BFC">
      <w:pPr>
        <w:spacing w:after="160" w:line="259" w:lineRule="auto"/>
        <w:rPr>
          <w:rFonts w:eastAsia="Arial"/>
          <w:sz w:val="18"/>
          <w:szCs w:val="18"/>
          <w:lang w:eastAsia="en-US"/>
        </w:rPr>
      </w:pPr>
      <w:r w:rsidRPr="00275BFC">
        <w:rPr>
          <w:rFonts w:eastAsia="Arial"/>
          <w:sz w:val="18"/>
          <w:szCs w:val="18"/>
          <w:lang w:eastAsia="en-US"/>
        </w:rPr>
        <w:t xml:space="preserve">Omkostningerne forfalder til betaling til </w:t>
      </w:r>
      <w:proofErr w:type="spellStart"/>
      <w:r w:rsidRPr="00275BFC">
        <w:rPr>
          <w:rFonts w:eastAsia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/>
          <w:sz w:val="18"/>
          <w:szCs w:val="18"/>
          <w:lang w:eastAsia="en-US"/>
        </w:rPr>
        <w:t xml:space="preserve"> på det tidligste af følgende tidspunkter: </w:t>
      </w:r>
    </w:p>
    <w:p w14:paraId="38413A32" w14:textId="77777777" w:rsidR="00275BFC" w:rsidRPr="00275BFC" w:rsidRDefault="00275BFC" w:rsidP="00275BFC">
      <w:pPr>
        <w:numPr>
          <w:ilvl w:val="0"/>
          <w:numId w:val="7"/>
        </w:numPr>
        <w:spacing w:after="160" w:line="259" w:lineRule="auto"/>
        <w:contextualSpacing/>
        <w:rPr>
          <w:rFonts w:eastAsia="Arial"/>
          <w:sz w:val="18"/>
          <w:szCs w:val="18"/>
          <w:lang w:eastAsia="en-US"/>
        </w:rPr>
      </w:pPr>
      <w:r w:rsidRPr="00275BFC">
        <w:rPr>
          <w:rFonts w:eastAsia="Arial"/>
          <w:sz w:val="18"/>
          <w:szCs w:val="18"/>
          <w:lang w:eastAsia="en-US"/>
        </w:rPr>
        <w:t xml:space="preserve">Aftalens opsigelse efter Aftalens pkt. 6 </w:t>
      </w:r>
    </w:p>
    <w:p w14:paraId="396263A3" w14:textId="77777777" w:rsidR="00275BFC" w:rsidRPr="00275BFC" w:rsidRDefault="00275BFC" w:rsidP="00275BFC">
      <w:pPr>
        <w:numPr>
          <w:ilvl w:val="0"/>
          <w:numId w:val="7"/>
        </w:numPr>
        <w:spacing w:after="160" w:line="259" w:lineRule="auto"/>
        <w:contextualSpacing/>
        <w:rPr>
          <w:rFonts w:eastAsia="Arial"/>
          <w:sz w:val="18"/>
          <w:szCs w:val="18"/>
          <w:lang w:eastAsia="en-US"/>
        </w:rPr>
      </w:pPr>
      <w:r w:rsidRPr="00275BFC">
        <w:rPr>
          <w:rFonts w:eastAsia="Arial"/>
          <w:sz w:val="18"/>
          <w:szCs w:val="18"/>
          <w:lang w:eastAsia="en-US"/>
        </w:rPr>
        <w:t xml:space="preserve">Aftalens ophævelse grundet Anlægsejers væsentlige misligholdelse efter Aftalens pkt. 7, eller </w:t>
      </w:r>
    </w:p>
    <w:p w14:paraId="0E952508" w14:textId="77777777" w:rsidR="00275BFC" w:rsidRPr="00275BFC" w:rsidRDefault="00275BFC" w:rsidP="00275BFC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iCs/>
          <w:sz w:val="18"/>
          <w:szCs w:val="18"/>
          <w:lang w:eastAsia="en-US"/>
        </w:rPr>
      </w:pPr>
      <w:r w:rsidRPr="00275BFC">
        <w:rPr>
          <w:rFonts w:eastAsia="Arial"/>
          <w:sz w:val="18"/>
          <w:szCs w:val="18"/>
          <w:lang w:eastAsia="en-US"/>
        </w:rPr>
        <w:t>[DATO] ("</w:t>
      </w:r>
      <w:r w:rsidRPr="00275BFC">
        <w:rPr>
          <w:rFonts w:eastAsia="Arial"/>
          <w:b/>
          <w:bCs/>
          <w:sz w:val="18"/>
          <w:szCs w:val="18"/>
          <w:lang w:eastAsia="en-US"/>
        </w:rPr>
        <w:t>Long-Stop Dato</w:t>
      </w:r>
      <w:r w:rsidRPr="00275BFC">
        <w:rPr>
          <w:rFonts w:eastAsia="Arial"/>
          <w:sz w:val="18"/>
          <w:szCs w:val="18"/>
          <w:lang w:eastAsia="en-US"/>
        </w:rPr>
        <w:t>")</w:t>
      </w:r>
      <w:r w:rsidRPr="00275BFC">
        <w:rPr>
          <w:rFonts w:eastAsia="Arial"/>
          <w:sz w:val="18"/>
          <w:szCs w:val="18"/>
          <w:vertAlign w:val="superscript"/>
          <w:lang w:eastAsia="en-US"/>
        </w:rPr>
        <w:footnoteReference w:id="1"/>
      </w:r>
      <w:r w:rsidRPr="00275BFC">
        <w:rPr>
          <w:rFonts w:eastAsia="Arial"/>
          <w:sz w:val="18"/>
          <w:szCs w:val="18"/>
          <w:lang w:eastAsia="en-US"/>
        </w:rPr>
        <w:t>.</w:t>
      </w:r>
    </w:p>
    <w:p w14:paraId="0ABA5BF5" w14:textId="77777777" w:rsidR="00275BFC" w:rsidRPr="00275BFC" w:rsidRDefault="00275BFC" w:rsidP="00275BFC">
      <w:pPr>
        <w:keepNext/>
        <w:spacing w:before="40" w:line="260" w:lineRule="atLeast"/>
        <w:outlineLvl w:val="1"/>
        <w:rPr>
          <w:rFonts w:eastAsia="Arial" w:cs="Arial"/>
          <w:sz w:val="18"/>
          <w:szCs w:val="18"/>
          <w:u w:val="single"/>
          <w:lang w:eastAsia="en-US"/>
        </w:rPr>
      </w:pPr>
      <w:r w:rsidRPr="00275BFC">
        <w:rPr>
          <w:rFonts w:eastAsia="Arial" w:cs="Arial"/>
          <w:sz w:val="18"/>
          <w:szCs w:val="18"/>
          <w:u w:val="single"/>
          <w:lang w:eastAsia="en-US"/>
        </w:rPr>
        <w:t>Bemærkninger til de økonomiske elementer</w:t>
      </w:r>
    </w:p>
    <w:p w14:paraId="2A667463" w14:textId="77777777" w:rsidR="00275BFC" w:rsidRPr="00275BFC" w:rsidRDefault="00275BFC" w:rsidP="00275BFC">
      <w:pPr>
        <w:tabs>
          <w:tab w:val="right" w:pos="1170"/>
          <w:tab w:val="left" w:pos="1404"/>
          <w:tab w:val="left" w:pos="2184"/>
          <w:tab w:val="decimal" w:pos="8814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rFonts w:eastAsia="Arial" w:cs="Arial"/>
          <w:color w:val="000000"/>
          <w:sz w:val="18"/>
          <w:szCs w:val="18"/>
          <w:lang w:eastAsia="en-US"/>
        </w:rPr>
      </w:pPr>
    </w:p>
    <w:p w14:paraId="378BBE27" w14:textId="77777777" w:rsidR="00275BFC" w:rsidRPr="00275BFC" w:rsidRDefault="00275BFC" w:rsidP="00275BFC">
      <w:pPr>
        <w:tabs>
          <w:tab w:val="left" w:pos="992"/>
          <w:tab w:val="left" w:pos="6096"/>
          <w:tab w:val="left" w:pos="7230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rFonts w:eastAsia="Arial" w:cs="Arial"/>
          <w:sz w:val="18"/>
          <w:szCs w:val="18"/>
          <w:lang w:eastAsia="en-US"/>
        </w:rPr>
      </w:pPr>
      <w:proofErr w:type="spellStart"/>
      <w:r w:rsidRPr="00275BFC">
        <w:rPr>
          <w:rFonts w:eastAsia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/>
          <w:sz w:val="18"/>
          <w:szCs w:val="18"/>
          <w:lang w:eastAsia="en-US"/>
        </w:rPr>
        <w:t xml:space="preserve"> vil fremsende faktura til Anlægsejeren for enten (i) Tilslutningsbidraget, på tidspunktet for </w:t>
      </w:r>
      <w:proofErr w:type="spellStart"/>
      <w:r w:rsidRPr="00275BFC">
        <w:rPr>
          <w:rFonts w:eastAsia="Arial"/>
          <w:sz w:val="18"/>
          <w:szCs w:val="18"/>
          <w:lang w:eastAsia="en-US"/>
        </w:rPr>
        <w:t>nettilslutning</w:t>
      </w:r>
      <w:proofErr w:type="spellEnd"/>
      <w:r w:rsidRPr="00275BFC">
        <w:rPr>
          <w:rFonts w:eastAsia="Arial"/>
          <w:sz w:val="18"/>
          <w:szCs w:val="18"/>
          <w:lang w:eastAsia="en-US"/>
        </w:rPr>
        <w:t xml:space="preserve">, jf. ovenfor når Produktionsanlægget for første gang leverer elektricitet til Det Kollektive Elforsyningsnet eller (ii) de faktiske omkostninger, hvis </w:t>
      </w:r>
      <w:proofErr w:type="spellStart"/>
      <w:r w:rsidRPr="00275BFC">
        <w:rPr>
          <w:rFonts w:eastAsia="Arial"/>
          <w:sz w:val="18"/>
          <w:szCs w:val="18"/>
          <w:lang w:eastAsia="en-US"/>
        </w:rPr>
        <w:t>nettilslutningen</w:t>
      </w:r>
      <w:proofErr w:type="spellEnd"/>
      <w:r w:rsidRPr="00275BFC">
        <w:rPr>
          <w:rFonts w:eastAsia="Arial"/>
          <w:sz w:val="18"/>
          <w:szCs w:val="18"/>
          <w:lang w:eastAsia="en-US"/>
        </w:rPr>
        <w:t xml:space="preserve"> ikke gennemføres</w:t>
      </w:r>
      <w:r w:rsidRPr="00275BFC">
        <w:rPr>
          <w:rFonts w:eastAsia="Arial" w:cs="Arial"/>
          <w:sz w:val="18"/>
          <w:szCs w:val="18"/>
          <w:lang w:eastAsia="en-US"/>
        </w:rPr>
        <w:t xml:space="preserve">. </w:t>
      </w:r>
      <w:bookmarkStart w:id="2" w:name="_Hlk94187184"/>
      <w:proofErr w:type="gramStart"/>
      <w:r w:rsidRPr="00275BFC">
        <w:rPr>
          <w:rFonts w:eastAsia="Arial" w:cs="Arial"/>
          <w:sz w:val="18"/>
          <w:szCs w:val="18"/>
          <w:lang w:eastAsia="en-US"/>
        </w:rPr>
        <w:t>Endvidere</w:t>
      </w:r>
      <w:proofErr w:type="gramEnd"/>
      <w:r w:rsidRPr="00275BFC">
        <w:rPr>
          <w:rFonts w:eastAsia="Arial" w:cs="Arial"/>
          <w:sz w:val="18"/>
          <w:szCs w:val="18"/>
          <w:lang w:eastAsia="en-US"/>
        </w:rPr>
        <w:t xml:space="preserve"> fremsender </w:t>
      </w:r>
      <w:proofErr w:type="spellStart"/>
      <w:r w:rsidRPr="00275BFC">
        <w:rPr>
          <w:rFonts w:eastAsia="Arial" w:cs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Arial" w:cs="Arial"/>
          <w:sz w:val="18"/>
          <w:szCs w:val="18"/>
          <w:lang w:eastAsia="en-US"/>
        </w:rPr>
        <w:t xml:space="preserve"> faktura for </w:t>
      </w:r>
      <w:r w:rsidRPr="00275BFC">
        <w:rPr>
          <w:rFonts w:eastAsia="Arial"/>
          <w:sz w:val="18"/>
          <w:szCs w:val="18"/>
          <w:lang w:eastAsia="en-US"/>
        </w:rPr>
        <w:t xml:space="preserve">øvrige omkostninger ved </w:t>
      </w:r>
      <w:proofErr w:type="spellStart"/>
      <w:r w:rsidRPr="00275BFC">
        <w:rPr>
          <w:rFonts w:eastAsia="Arial"/>
          <w:sz w:val="18"/>
          <w:szCs w:val="18"/>
          <w:lang w:eastAsia="en-US"/>
        </w:rPr>
        <w:t>nettilslutning</w:t>
      </w:r>
      <w:proofErr w:type="spellEnd"/>
      <w:r w:rsidRPr="00275BFC">
        <w:rPr>
          <w:rFonts w:eastAsia="Arial"/>
          <w:sz w:val="18"/>
          <w:szCs w:val="18"/>
          <w:lang w:eastAsia="en-US"/>
        </w:rPr>
        <w:t>, som efter gældende lovgivning påhviler Anlægsejer, når omkostningerne kan opgøres.</w:t>
      </w:r>
    </w:p>
    <w:bookmarkEnd w:id="2"/>
    <w:p w14:paraId="070A9CE3" w14:textId="77777777" w:rsidR="00275BFC" w:rsidRPr="00275BFC" w:rsidRDefault="00275BFC" w:rsidP="00275BFC">
      <w:pPr>
        <w:tabs>
          <w:tab w:val="left" w:pos="992"/>
          <w:tab w:val="left" w:pos="6096"/>
          <w:tab w:val="left" w:pos="7230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rFonts w:eastAsia="Arial" w:cs="Arial"/>
          <w:sz w:val="18"/>
          <w:szCs w:val="18"/>
          <w:lang w:eastAsia="en-US"/>
        </w:rPr>
      </w:pPr>
    </w:p>
    <w:p w14:paraId="3D316537" w14:textId="77777777" w:rsidR="00275BFC" w:rsidRPr="00275BFC" w:rsidRDefault="00275BFC" w:rsidP="00275BFC">
      <w:pPr>
        <w:pBdr>
          <w:bottom w:val="single" w:sz="12" w:space="1" w:color="auto"/>
        </w:pBdr>
        <w:spacing w:after="160" w:line="259" w:lineRule="auto"/>
        <w:rPr>
          <w:rFonts w:eastAsia="Calibri"/>
          <w:i/>
          <w:sz w:val="18"/>
          <w:szCs w:val="18"/>
          <w:lang w:eastAsia="en-US"/>
        </w:rPr>
      </w:pPr>
    </w:p>
    <w:p w14:paraId="2B04C407" w14:textId="77777777" w:rsidR="00275BFC" w:rsidRPr="00275BFC" w:rsidRDefault="00275BFC" w:rsidP="00275BFC">
      <w:pPr>
        <w:keepNext/>
        <w:spacing w:before="260" w:after="130" w:line="260" w:lineRule="exact"/>
        <w:rPr>
          <w:b/>
          <w:caps/>
          <w:spacing w:val="5"/>
          <w:sz w:val="18"/>
          <w:szCs w:val="18"/>
          <w:lang w:eastAsia="en-US"/>
        </w:rPr>
      </w:pPr>
      <w:r w:rsidRPr="00275BFC">
        <w:rPr>
          <w:b/>
          <w:caps/>
          <w:spacing w:val="5"/>
          <w:sz w:val="18"/>
          <w:szCs w:val="18"/>
          <w:lang w:eastAsia="en-US"/>
        </w:rPr>
        <w:t>Krav til sikkerhedsstillelsen for nettilslutningen</w:t>
      </w:r>
    </w:p>
    <w:p w14:paraId="70E0FA3C" w14:textId="77777777" w:rsidR="00275BFC" w:rsidRPr="00275BFC" w:rsidRDefault="00275BFC" w:rsidP="00275BFC">
      <w:pPr>
        <w:spacing w:after="160" w:line="259" w:lineRule="auto"/>
        <w:rPr>
          <w:rFonts w:eastAsia="Calibri"/>
          <w:iCs/>
          <w:sz w:val="18"/>
          <w:szCs w:val="18"/>
          <w:lang w:eastAsia="en-US"/>
        </w:rPr>
      </w:pPr>
      <w:r w:rsidRPr="00275BFC">
        <w:rPr>
          <w:rFonts w:eastAsia="Calibri"/>
          <w:iCs/>
          <w:sz w:val="18"/>
          <w:szCs w:val="18"/>
          <w:lang w:eastAsia="en-US"/>
        </w:rPr>
        <w:t>Anlægsejers sikkerhedsstillelse skal være i form af en anfordringsgaranti udstedt af et anerkendt pengeinstitut eller anden tilsvarende sikkerhedsstillelse. Sikkerhedsstillelsen/garantiteksten skal være på dansk.</w:t>
      </w:r>
    </w:p>
    <w:p w14:paraId="01ECCAC2" w14:textId="77777777" w:rsidR="00275BFC" w:rsidRPr="00275BFC" w:rsidRDefault="00275BFC" w:rsidP="00275BFC">
      <w:pPr>
        <w:spacing w:after="160" w:line="259" w:lineRule="auto"/>
        <w:rPr>
          <w:rFonts w:eastAsia="Calibri"/>
          <w:iCs/>
          <w:sz w:val="18"/>
          <w:szCs w:val="18"/>
          <w:lang w:eastAsia="en-US"/>
        </w:rPr>
      </w:pPr>
      <w:r w:rsidRPr="00275BFC">
        <w:rPr>
          <w:rFonts w:eastAsia="Calibri"/>
          <w:iCs/>
          <w:sz w:val="18"/>
          <w:szCs w:val="18"/>
          <w:lang w:eastAsia="en-US"/>
        </w:rPr>
        <w:t>Alle omkostninger ved sikkerhedsstillelsen afholdes af Anlægsejer.</w:t>
      </w:r>
    </w:p>
    <w:p w14:paraId="742B2ACC" w14:textId="77777777" w:rsidR="00275BFC" w:rsidRPr="00275BFC" w:rsidRDefault="00275BFC" w:rsidP="00275BFC">
      <w:pPr>
        <w:spacing w:after="160" w:line="259" w:lineRule="auto"/>
        <w:rPr>
          <w:rFonts w:eastAsia="Calibri"/>
          <w:iCs/>
          <w:sz w:val="18"/>
          <w:szCs w:val="18"/>
          <w:lang w:eastAsia="en-US"/>
        </w:rPr>
      </w:pPr>
      <w:r w:rsidRPr="00275BFC">
        <w:rPr>
          <w:rFonts w:eastAsia="Calibri"/>
          <w:iCs/>
          <w:sz w:val="18"/>
          <w:szCs w:val="18"/>
          <w:lang w:eastAsia="en-US"/>
        </w:rPr>
        <w:t xml:space="preserve">Garantien udstedes med </w:t>
      </w:r>
      <w:proofErr w:type="spellStart"/>
      <w:r w:rsidRPr="00275BFC">
        <w:rPr>
          <w:rFonts w:eastAsia="Calibri"/>
          <w:iCs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iCs/>
          <w:sz w:val="18"/>
          <w:szCs w:val="18"/>
          <w:lang w:eastAsia="en-US"/>
        </w:rPr>
        <w:t xml:space="preserve"> som begunstiget og sendes til </w:t>
      </w:r>
      <w:proofErr w:type="spellStart"/>
      <w:r w:rsidRPr="00275BFC">
        <w:rPr>
          <w:rFonts w:eastAsia="Calibri"/>
          <w:iCs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iCs/>
          <w:sz w:val="18"/>
          <w:szCs w:val="18"/>
          <w:lang w:eastAsia="en-US"/>
        </w:rPr>
        <w:t>:</w:t>
      </w:r>
    </w:p>
    <w:p w14:paraId="3715C867" w14:textId="77777777" w:rsidR="00275BFC" w:rsidRPr="00275BFC" w:rsidRDefault="00275BFC" w:rsidP="00275BFC">
      <w:pPr>
        <w:spacing w:after="160" w:line="259" w:lineRule="auto"/>
        <w:rPr>
          <w:rFonts w:eastAsia="Calibri"/>
          <w:iCs/>
          <w:sz w:val="18"/>
          <w:szCs w:val="18"/>
          <w:lang w:eastAsia="en-US"/>
        </w:rPr>
      </w:pPr>
      <w:r w:rsidRPr="00275BFC">
        <w:rPr>
          <w:rFonts w:eastAsia="Calibri"/>
          <w:iCs/>
          <w:sz w:val="18"/>
          <w:szCs w:val="18"/>
          <w:lang w:eastAsia="en-US"/>
        </w:rPr>
        <w:t>[Angiv ønsket fremsendelsessted]</w:t>
      </w:r>
    </w:p>
    <w:p w14:paraId="59B5DE60" w14:textId="77777777" w:rsidR="00275BFC" w:rsidRPr="00275BFC" w:rsidRDefault="00275BFC" w:rsidP="00275BFC">
      <w:pPr>
        <w:spacing w:after="160" w:line="259" w:lineRule="auto"/>
        <w:rPr>
          <w:rFonts w:eastAsia="Calibri"/>
          <w:iCs/>
          <w:sz w:val="18"/>
          <w:szCs w:val="18"/>
          <w:lang w:eastAsia="en-US"/>
        </w:rPr>
      </w:pPr>
      <w:proofErr w:type="spellStart"/>
      <w:r w:rsidRPr="00275BFC">
        <w:rPr>
          <w:rFonts w:eastAsia="Calibri"/>
          <w:iCs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iCs/>
          <w:sz w:val="18"/>
          <w:szCs w:val="18"/>
          <w:lang w:eastAsia="en-US"/>
        </w:rPr>
        <w:t xml:space="preserve"> har ret til at afvise en udstedt garanti, der ikke giver </w:t>
      </w:r>
      <w:proofErr w:type="spellStart"/>
      <w:r w:rsidRPr="00275BFC">
        <w:rPr>
          <w:rFonts w:eastAsia="Calibri"/>
          <w:iCs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iCs/>
          <w:sz w:val="18"/>
          <w:szCs w:val="18"/>
          <w:lang w:eastAsia="en-US"/>
        </w:rPr>
        <w:t xml:space="preserve"> den </w:t>
      </w:r>
      <w:proofErr w:type="gramStart"/>
      <w:r w:rsidRPr="00275BFC">
        <w:rPr>
          <w:rFonts w:eastAsia="Calibri"/>
          <w:iCs/>
          <w:sz w:val="18"/>
          <w:szCs w:val="18"/>
          <w:lang w:eastAsia="en-US"/>
        </w:rPr>
        <w:t>fornødne</w:t>
      </w:r>
      <w:proofErr w:type="gramEnd"/>
      <w:r w:rsidRPr="00275BFC">
        <w:rPr>
          <w:rFonts w:eastAsia="Calibri"/>
          <w:iCs/>
          <w:sz w:val="18"/>
          <w:szCs w:val="18"/>
          <w:lang w:eastAsia="en-US"/>
        </w:rPr>
        <w:t xml:space="preserve"> sikkerhed.</w:t>
      </w:r>
    </w:p>
    <w:p w14:paraId="3120E33D" w14:textId="77777777" w:rsidR="00275BFC" w:rsidRPr="00275BFC" w:rsidRDefault="00275BFC" w:rsidP="00275BFC">
      <w:pPr>
        <w:pBdr>
          <w:bottom w:val="single" w:sz="12" w:space="1" w:color="auto"/>
        </w:pBdr>
        <w:spacing w:after="160" w:line="259" w:lineRule="auto"/>
        <w:rPr>
          <w:rFonts w:eastAsia="Calibri"/>
          <w:i/>
          <w:sz w:val="18"/>
          <w:szCs w:val="18"/>
          <w:lang w:eastAsia="en-US"/>
        </w:rPr>
      </w:pPr>
    </w:p>
    <w:p w14:paraId="55BA773F" w14:textId="77777777" w:rsidR="00275BFC" w:rsidRPr="00275BFC" w:rsidRDefault="00275BFC" w:rsidP="00275BFC">
      <w:pPr>
        <w:keepNext/>
        <w:spacing w:before="260" w:after="130" w:line="260" w:lineRule="exact"/>
        <w:rPr>
          <w:b/>
          <w:caps/>
          <w:spacing w:val="5"/>
          <w:sz w:val="18"/>
          <w:szCs w:val="18"/>
          <w:lang w:eastAsia="en-US"/>
        </w:rPr>
      </w:pPr>
      <w:r w:rsidRPr="00275BFC">
        <w:rPr>
          <w:b/>
          <w:caps/>
          <w:spacing w:val="5"/>
          <w:sz w:val="18"/>
          <w:szCs w:val="18"/>
          <w:lang w:eastAsia="en-US"/>
        </w:rPr>
        <w:t>Frigivelse af sikkerhedsstillelsen</w:t>
      </w:r>
    </w:p>
    <w:p w14:paraId="6D7D8ECA" w14:textId="77777777" w:rsidR="00275BFC" w:rsidRPr="00275BFC" w:rsidRDefault="00275BFC" w:rsidP="00275BFC">
      <w:pPr>
        <w:spacing w:after="160" w:line="256" w:lineRule="auto"/>
        <w:rPr>
          <w:rFonts w:eastAsia="Calibri"/>
          <w:b/>
          <w:bCs/>
          <w:sz w:val="18"/>
          <w:szCs w:val="18"/>
          <w:lang w:eastAsia="en-US"/>
        </w:rPr>
      </w:pPr>
      <w:r w:rsidRPr="00275BFC">
        <w:rPr>
          <w:rFonts w:eastAsia="Calibri"/>
          <w:b/>
          <w:bCs/>
          <w:sz w:val="18"/>
          <w:szCs w:val="18"/>
          <w:lang w:eastAsia="en-US"/>
        </w:rPr>
        <w:t xml:space="preserve">Produktionsanlægget </w:t>
      </w:r>
      <w:proofErr w:type="spellStart"/>
      <w:r w:rsidRPr="00275BFC">
        <w:rPr>
          <w:rFonts w:eastAsia="Calibri"/>
          <w:b/>
          <w:bCs/>
          <w:sz w:val="18"/>
          <w:szCs w:val="18"/>
          <w:lang w:eastAsia="en-US"/>
        </w:rPr>
        <w:t>nettilsluttes</w:t>
      </w:r>
      <w:proofErr w:type="spellEnd"/>
    </w:p>
    <w:p w14:paraId="04DBD299" w14:textId="77777777" w:rsidR="00275BFC" w:rsidRPr="00275BFC" w:rsidRDefault="00275BFC" w:rsidP="00275BFC">
      <w:pPr>
        <w:spacing w:after="160" w:line="256" w:lineRule="auto"/>
        <w:rPr>
          <w:rFonts w:eastAsia="Calibri"/>
          <w:sz w:val="18"/>
          <w:szCs w:val="18"/>
          <w:lang w:eastAsia="en-US"/>
        </w:rPr>
      </w:pPr>
      <w:r w:rsidRPr="00275BFC">
        <w:rPr>
          <w:rFonts w:eastAsia="Calibri"/>
          <w:sz w:val="18"/>
          <w:szCs w:val="18"/>
          <w:lang w:eastAsia="en-US"/>
        </w:rPr>
        <w:t xml:space="preserve">Sikkerhedsstillelsen frigives, når Anlægsejer har betalt Tilslutningsbidraget til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. </w:t>
      </w:r>
    </w:p>
    <w:p w14:paraId="002AEAC3" w14:textId="77777777" w:rsidR="00275BFC" w:rsidRPr="00275BFC" w:rsidRDefault="00275BFC" w:rsidP="00275BFC">
      <w:pPr>
        <w:spacing w:after="160" w:line="256" w:lineRule="auto"/>
        <w:rPr>
          <w:rFonts w:eastAsia="Calibri"/>
          <w:b/>
          <w:bCs/>
          <w:sz w:val="18"/>
          <w:szCs w:val="18"/>
          <w:lang w:eastAsia="en-US"/>
        </w:rPr>
      </w:pPr>
      <w:r w:rsidRPr="00275BFC">
        <w:rPr>
          <w:rFonts w:eastAsia="Calibri"/>
          <w:b/>
          <w:bCs/>
          <w:sz w:val="18"/>
          <w:szCs w:val="18"/>
          <w:lang w:eastAsia="en-US"/>
        </w:rPr>
        <w:t xml:space="preserve">Produktionsanlægget </w:t>
      </w:r>
      <w:proofErr w:type="spellStart"/>
      <w:r w:rsidRPr="00275BFC">
        <w:rPr>
          <w:rFonts w:eastAsia="Calibri"/>
          <w:b/>
          <w:bCs/>
          <w:sz w:val="18"/>
          <w:szCs w:val="18"/>
          <w:lang w:eastAsia="en-US"/>
        </w:rPr>
        <w:t>nettilsluttes</w:t>
      </w:r>
      <w:proofErr w:type="spellEnd"/>
      <w:r w:rsidRPr="00275BFC">
        <w:rPr>
          <w:rFonts w:eastAsia="Calibri"/>
          <w:b/>
          <w:bCs/>
          <w:sz w:val="18"/>
          <w:szCs w:val="18"/>
          <w:lang w:eastAsia="en-US"/>
        </w:rPr>
        <w:t xml:space="preserve"> ikke</w:t>
      </w:r>
    </w:p>
    <w:p w14:paraId="097CF0A4" w14:textId="77777777" w:rsidR="00275BFC" w:rsidRPr="00275BFC" w:rsidRDefault="00275BFC" w:rsidP="00275BFC">
      <w:pPr>
        <w:spacing w:after="160" w:line="256" w:lineRule="auto"/>
        <w:rPr>
          <w:rFonts w:eastAsia="Calibri"/>
          <w:iCs/>
          <w:sz w:val="18"/>
          <w:szCs w:val="18"/>
          <w:lang w:eastAsia="en-US"/>
        </w:rPr>
      </w:pPr>
      <w:r w:rsidRPr="00275BFC">
        <w:rPr>
          <w:rFonts w:eastAsia="Calibri"/>
          <w:sz w:val="18"/>
          <w:szCs w:val="18"/>
          <w:lang w:eastAsia="en-US"/>
        </w:rPr>
        <w:lastRenderedPageBreak/>
        <w:t xml:space="preserve">Sikkerhedsstillelsen frigives, når Anlægsejer har betalt samtlige faktiske omkostninger, dog højest beløb svarende til tilslutningsbidraget, til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, for omkostninger som </w:t>
      </w:r>
      <w:proofErr w:type="spellStart"/>
      <w:r w:rsidRPr="00275BFC">
        <w:rPr>
          <w:rFonts w:eastAsia="Calibri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/>
          <w:sz w:val="18"/>
          <w:szCs w:val="18"/>
          <w:lang w:eastAsia="en-US"/>
        </w:rPr>
        <w:t xml:space="preserve"> har pådraget sig i </w:t>
      </w:r>
      <w:r w:rsidRPr="00275BFC">
        <w:rPr>
          <w:rFonts w:eastAsia="Calibri"/>
          <w:iCs/>
          <w:sz w:val="18"/>
          <w:szCs w:val="18"/>
          <w:lang w:eastAsia="en-US"/>
        </w:rPr>
        <w:t xml:space="preserve">overensstemmelse med afsnittet </w:t>
      </w:r>
      <w:r w:rsidRPr="00275BFC">
        <w:rPr>
          <w:rFonts w:eastAsia="Calibri"/>
          <w:b/>
          <w:bCs/>
          <w:iCs/>
          <w:sz w:val="18"/>
          <w:szCs w:val="18"/>
          <w:lang w:eastAsia="en-US"/>
        </w:rPr>
        <w:t xml:space="preserve">Økonomiske Elementer Vedr. </w:t>
      </w:r>
      <w:proofErr w:type="spellStart"/>
      <w:r w:rsidRPr="00275BFC">
        <w:rPr>
          <w:rFonts w:eastAsia="Calibri"/>
          <w:b/>
          <w:bCs/>
          <w:iCs/>
          <w:sz w:val="18"/>
          <w:szCs w:val="18"/>
          <w:lang w:eastAsia="en-US"/>
        </w:rPr>
        <w:t>Nettilslutningen</w:t>
      </w:r>
      <w:proofErr w:type="spellEnd"/>
      <w:r w:rsidRPr="00275BFC">
        <w:rPr>
          <w:rFonts w:eastAsia="Calibri"/>
          <w:iCs/>
          <w:sz w:val="18"/>
          <w:szCs w:val="18"/>
          <w:lang w:eastAsia="en-US"/>
        </w:rPr>
        <w:t>.</w:t>
      </w:r>
    </w:p>
    <w:p w14:paraId="19288718" w14:textId="77777777" w:rsidR="00275BFC" w:rsidRPr="00275BFC" w:rsidRDefault="00275BFC" w:rsidP="00275BFC">
      <w:pPr>
        <w:pBdr>
          <w:bottom w:val="single" w:sz="12" w:space="1" w:color="auto"/>
        </w:pBdr>
        <w:spacing w:after="160" w:line="259" w:lineRule="auto"/>
        <w:rPr>
          <w:rFonts w:eastAsia="Calibri"/>
          <w:i/>
          <w:sz w:val="18"/>
          <w:szCs w:val="18"/>
          <w:lang w:eastAsia="en-US"/>
        </w:rPr>
      </w:pPr>
    </w:p>
    <w:p w14:paraId="42D35876" w14:textId="77777777" w:rsidR="00275BFC" w:rsidRPr="00275BFC" w:rsidRDefault="00275BFC" w:rsidP="00275BFC">
      <w:pPr>
        <w:keepNext/>
        <w:spacing w:before="260" w:after="130" w:line="260" w:lineRule="exact"/>
        <w:rPr>
          <w:b/>
          <w:caps/>
          <w:spacing w:val="5"/>
          <w:sz w:val="18"/>
          <w:szCs w:val="18"/>
          <w:lang w:eastAsia="en-US"/>
        </w:rPr>
      </w:pPr>
      <w:r w:rsidRPr="00275BFC">
        <w:rPr>
          <w:b/>
          <w:caps/>
          <w:spacing w:val="5"/>
          <w:sz w:val="18"/>
          <w:szCs w:val="18"/>
          <w:lang w:eastAsia="en-US"/>
        </w:rPr>
        <w:t>Forbehold i forhold til nettilslutningen</w:t>
      </w:r>
    </w:p>
    <w:p w14:paraId="40F56CAA" w14:textId="77777777" w:rsidR="00275BFC" w:rsidRPr="00275BFC" w:rsidRDefault="00275BFC" w:rsidP="00275BFC">
      <w:pPr>
        <w:spacing w:after="160" w:line="256" w:lineRule="auto"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 xml:space="preserve">Den forventede etableringstid angivet i skemaet ovenfor er </w:t>
      </w:r>
      <w:proofErr w:type="spellStart"/>
      <w:r w:rsidRPr="00275BFC">
        <w:rPr>
          <w:rFonts w:eastAsia="Calibri" w:cs="Arial"/>
          <w:sz w:val="18"/>
          <w:szCs w:val="18"/>
          <w:lang w:eastAsia="en-US"/>
        </w:rPr>
        <w:t>Netselskabets</w:t>
      </w:r>
      <w:proofErr w:type="spellEnd"/>
      <w:r w:rsidRPr="00275BFC">
        <w:rPr>
          <w:rFonts w:eastAsia="Calibri" w:cs="Arial"/>
          <w:sz w:val="18"/>
          <w:szCs w:val="18"/>
          <w:lang w:eastAsia="en-US"/>
        </w:rPr>
        <w:t xml:space="preserve"> vejledende tidsplan for </w:t>
      </w:r>
      <w:proofErr w:type="spellStart"/>
      <w:r w:rsidRPr="00275BFC">
        <w:rPr>
          <w:rFonts w:eastAsia="Calibri" w:cs="Arial"/>
          <w:sz w:val="18"/>
          <w:szCs w:val="18"/>
          <w:lang w:eastAsia="en-US"/>
        </w:rPr>
        <w:t>nettilslutning</w:t>
      </w:r>
      <w:proofErr w:type="spellEnd"/>
      <w:r w:rsidRPr="00275BFC">
        <w:rPr>
          <w:rFonts w:eastAsia="Calibri" w:cs="Arial"/>
          <w:sz w:val="18"/>
          <w:szCs w:val="18"/>
          <w:lang w:eastAsia="en-US"/>
        </w:rPr>
        <w:t xml:space="preserve">. Den forventede etableringstid kan dække over både sagsbehandlingstid og etableringstid, og angår alene </w:t>
      </w:r>
      <w:proofErr w:type="spellStart"/>
      <w:r w:rsidRPr="00275BFC">
        <w:rPr>
          <w:rFonts w:eastAsia="Calibri" w:cs="Arial"/>
          <w:sz w:val="18"/>
          <w:szCs w:val="18"/>
          <w:lang w:eastAsia="en-US"/>
        </w:rPr>
        <w:t>Netselskabets</w:t>
      </w:r>
      <w:proofErr w:type="spellEnd"/>
      <w:r w:rsidRPr="00275BFC">
        <w:rPr>
          <w:rFonts w:eastAsia="Calibri" w:cs="Arial"/>
          <w:sz w:val="18"/>
          <w:szCs w:val="18"/>
          <w:lang w:eastAsia="en-US"/>
        </w:rPr>
        <w:t xml:space="preserve"> del af tilslutningsarbejderne. </w:t>
      </w:r>
    </w:p>
    <w:p w14:paraId="225683FC" w14:textId="77777777" w:rsidR="00275BFC" w:rsidRPr="00275BFC" w:rsidRDefault="00275BFC" w:rsidP="00275BFC">
      <w:pPr>
        <w:spacing w:after="160" w:line="256" w:lineRule="auto"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 xml:space="preserve">Den forventede etableringstid som angivet i skemaet ovenfor er udtryk for </w:t>
      </w:r>
      <w:proofErr w:type="spellStart"/>
      <w:r w:rsidRPr="00275BFC">
        <w:rPr>
          <w:rFonts w:eastAsia="Calibri" w:cs="Arial"/>
          <w:sz w:val="18"/>
          <w:szCs w:val="18"/>
          <w:lang w:eastAsia="en-US"/>
        </w:rPr>
        <w:t>Netselskabets</w:t>
      </w:r>
      <w:proofErr w:type="spellEnd"/>
      <w:r w:rsidRPr="00275BFC">
        <w:rPr>
          <w:rFonts w:eastAsia="Calibri" w:cs="Arial"/>
          <w:sz w:val="18"/>
          <w:szCs w:val="18"/>
          <w:lang w:eastAsia="en-US"/>
        </w:rPr>
        <w:t xml:space="preserve"> bedste skøn baseret på de gældende forhold, og er med forbehold for ændrede forudsætninger. Erfaringsmæssigt kan blandt andet følgende forhold påvirke den forventede etableringstid og tidspunktet for </w:t>
      </w:r>
      <w:proofErr w:type="spellStart"/>
      <w:r w:rsidRPr="00275BFC">
        <w:rPr>
          <w:rFonts w:eastAsia="Calibri" w:cs="Arial"/>
          <w:sz w:val="18"/>
          <w:szCs w:val="18"/>
          <w:lang w:eastAsia="en-US"/>
        </w:rPr>
        <w:t>nettilslutning</w:t>
      </w:r>
      <w:proofErr w:type="spellEnd"/>
      <w:r w:rsidRPr="00275BFC">
        <w:rPr>
          <w:rFonts w:eastAsia="Calibri" w:cs="Arial"/>
          <w:sz w:val="18"/>
          <w:szCs w:val="18"/>
          <w:lang w:eastAsia="en-US"/>
        </w:rPr>
        <w:t xml:space="preserve"> (listen er ikke udtømmende):</w:t>
      </w:r>
      <w:bookmarkStart w:id="3" w:name="OpenAt"/>
      <w:bookmarkEnd w:id="3"/>
    </w:p>
    <w:p w14:paraId="6C12264C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 xml:space="preserve">Indhentning af de </w:t>
      </w:r>
      <w:proofErr w:type="gramStart"/>
      <w:r w:rsidRPr="00275BFC">
        <w:rPr>
          <w:rFonts w:eastAsia="Calibri" w:cs="Arial"/>
          <w:sz w:val="18"/>
          <w:szCs w:val="18"/>
          <w:lang w:eastAsia="en-US"/>
        </w:rPr>
        <w:t>fornødne</w:t>
      </w:r>
      <w:proofErr w:type="gramEnd"/>
      <w:r w:rsidRPr="00275BFC">
        <w:rPr>
          <w:rFonts w:eastAsia="Calibri" w:cs="Arial"/>
          <w:sz w:val="18"/>
          <w:szCs w:val="18"/>
          <w:lang w:eastAsia="en-US"/>
        </w:rPr>
        <w:t xml:space="preserve"> myndigheds- og lodsejergodkendelser</w:t>
      </w:r>
    </w:p>
    <w:p w14:paraId="0F5423F4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 xml:space="preserve">Leveringstider på netkomponenter, særligt hvor </w:t>
      </w:r>
      <w:proofErr w:type="spellStart"/>
      <w:r w:rsidRPr="00275BFC">
        <w:rPr>
          <w:rFonts w:eastAsia="Calibri" w:cs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 w:cs="Arial"/>
          <w:sz w:val="18"/>
          <w:szCs w:val="18"/>
          <w:lang w:eastAsia="en-US"/>
        </w:rPr>
        <w:t xml:space="preserve"> ikke har ordrebekræftelse fra sine leverandører på tidspunktet for estimering af etableringstiden</w:t>
      </w:r>
    </w:p>
    <w:p w14:paraId="29F40250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 xml:space="preserve">Etableringstider på det udførende arbejde, særligt hvor </w:t>
      </w:r>
      <w:proofErr w:type="spellStart"/>
      <w:r w:rsidRPr="00275BFC">
        <w:rPr>
          <w:rFonts w:eastAsia="Calibri" w:cs="Arial"/>
          <w:sz w:val="18"/>
          <w:szCs w:val="18"/>
          <w:lang w:eastAsia="en-US"/>
        </w:rPr>
        <w:t>Netselskabet</w:t>
      </w:r>
      <w:proofErr w:type="spellEnd"/>
      <w:r w:rsidRPr="00275BFC">
        <w:rPr>
          <w:rFonts w:eastAsia="Calibri" w:cs="Arial"/>
          <w:sz w:val="18"/>
          <w:szCs w:val="18"/>
          <w:lang w:eastAsia="en-US"/>
        </w:rPr>
        <w:t xml:space="preserve"> ikke har indgået aftale med sine eksterne leverandører på tidspunktet for estimering af etableringstiden </w:t>
      </w:r>
    </w:p>
    <w:p w14:paraId="11097328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 xml:space="preserve">Ændringer i forventede behandlings- og etableringstider for Energinets anlægsprojekter </w:t>
      </w:r>
    </w:p>
    <w:p w14:paraId="329392EF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>Havari og fejl i forbindelse med flytning, opstilling og montering af netkomponenter samt fejl på komponenter</w:t>
      </w:r>
    </w:p>
    <w:p w14:paraId="6278A6A6" w14:textId="77777777" w:rsidR="00275BFC" w:rsidRPr="00275BFC" w:rsidRDefault="00275BFC" w:rsidP="00275BFC">
      <w:pPr>
        <w:numPr>
          <w:ilvl w:val="0"/>
          <w:numId w:val="5"/>
        </w:numPr>
        <w:spacing w:after="160" w:line="259" w:lineRule="auto"/>
        <w:contextualSpacing/>
        <w:rPr>
          <w:rFonts w:eastAsia="Calibri" w:cs="Arial"/>
          <w:sz w:val="18"/>
          <w:szCs w:val="18"/>
          <w:lang w:eastAsia="en-US"/>
        </w:rPr>
      </w:pPr>
      <w:r w:rsidRPr="00275BFC">
        <w:rPr>
          <w:rFonts w:eastAsia="Calibri" w:cs="Arial"/>
          <w:sz w:val="18"/>
          <w:szCs w:val="18"/>
          <w:lang w:eastAsia="en-US"/>
        </w:rPr>
        <w:t>Vejrlig forhold</w:t>
      </w:r>
    </w:p>
    <w:p w14:paraId="499E279D" w14:textId="77777777" w:rsidR="00275BFC" w:rsidRPr="00275BFC" w:rsidRDefault="00275BFC" w:rsidP="00275BFC">
      <w:pPr>
        <w:spacing w:line="260" w:lineRule="atLeast"/>
        <w:rPr>
          <w:rFonts w:eastAsia="Arial"/>
          <w:sz w:val="18"/>
          <w:szCs w:val="18"/>
          <w:lang w:eastAsia="en-US"/>
        </w:rPr>
      </w:pPr>
      <w:bookmarkStart w:id="4" w:name="bmStart"/>
      <w:bookmarkEnd w:id="4"/>
    </w:p>
    <w:p w14:paraId="7D814D5B" w14:textId="2045F52D" w:rsidR="00477857" w:rsidRPr="00275BFC" w:rsidRDefault="00477857" w:rsidP="00275BFC"/>
    <w:sectPr w:rsidR="00477857" w:rsidRPr="00275BFC" w:rsidSect="00DB1A78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7D05" w14:textId="77777777" w:rsidR="00563EF3" w:rsidRDefault="00563EF3" w:rsidP="009564FE">
      <w:pPr>
        <w:spacing w:line="240" w:lineRule="auto"/>
      </w:pPr>
      <w:r>
        <w:separator/>
      </w:r>
    </w:p>
  </w:endnote>
  <w:endnote w:type="continuationSeparator" w:id="0">
    <w:p w14:paraId="5A59FF2B" w14:textId="77777777" w:rsidR="00563EF3" w:rsidRDefault="00563EF3" w:rsidP="00956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090928752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BD8FCAB" w14:textId="592CB725" w:rsidR="009564FE" w:rsidRDefault="009564FE" w:rsidP="00A042BC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4A2542">
          <w:rPr>
            <w:rStyle w:val="Sidetal"/>
            <w:noProof/>
          </w:rPr>
          <w:t>2</w:t>
        </w:r>
        <w:r>
          <w:rPr>
            <w:rStyle w:val="Sidetal"/>
          </w:rPr>
          <w:fldChar w:fldCharType="end"/>
        </w:r>
      </w:p>
    </w:sdtContent>
  </w:sdt>
  <w:p w14:paraId="1F6B65D7" w14:textId="77777777" w:rsidR="009564FE" w:rsidRDefault="009564FE" w:rsidP="009564F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sz w:val="16"/>
        <w:szCs w:val="16"/>
      </w:rPr>
      <w:id w:val="92516756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5AC6E84" w14:textId="4322BCB2" w:rsidR="00A042BC" w:rsidRPr="00A042BC" w:rsidRDefault="00A042BC" w:rsidP="000637FD">
        <w:pPr>
          <w:pStyle w:val="Sidefod"/>
          <w:framePr w:wrap="none" w:vAnchor="text" w:hAnchor="margin" w:xAlign="right" w:y="1"/>
          <w:rPr>
            <w:rStyle w:val="Sidetal"/>
            <w:sz w:val="16"/>
            <w:szCs w:val="16"/>
          </w:rPr>
        </w:pPr>
        <w:r w:rsidRPr="00275BFC">
          <w:rPr>
            <w:rStyle w:val="Sidetal"/>
            <w:color w:val="808080"/>
            <w:sz w:val="16"/>
            <w:szCs w:val="16"/>
          </w:rPr>
          <w:fldChar w:fldCharType="begin"/>
        </w:r>
        <w:r w:rsidRPr="00275BFC">
          <w:rPr>
            <w:rStyle w:val="Sidetal"/>
            <w:color w:val="808080"/>
            <w:sz w:val="16"/>
            <w:szCs w:val="16"/>
          </w:rPr>
          <w:instrText xml:space="preserve"> PAGE </w:instrText>
        </w:r>
        <w:r w:rsidRPr="00275BFC">
          <w:rPr>
            <w:rStyle w:val="Sidetal"/>
            <w:color w:val="808080"/>
            <w:sz w:val="16"/>
            <w:szCs w:val="16"/>
          </w:rPr>
          <w:fldChar w:fldCharType="separate"/>
        </w:r>
        <w:r w:rsidRPr="00275BFC">
          <w:rPr>
            <w:rStyle w:val="Sidetal"/>
            <w:noProof/>
            <w:color w:val="808080"/>
            <w:sz w:val="16"/>
            <w:szCs w:val="16"/>
          </w:rPr>
          <w:t>1</w:t>
        </w:r>
        <w:r w:rsidRPr="00275BFC">
          <w:rPr>
            <w:rStyle w:val="Sidetal"/>
            <w:color w:val="808080"/>
            <w:sz w:val="16"/>
            <w:szCs w:val="16"/>
          </w:rPr>
          <w:fldChar w:fldCharType="end"/>
        </w:r>
      </w:p>
    </w:sdtContent>
  </w:sdt>
  <w:p w14:paraId="74F4D4E7" w14:textId="689215C9" w:rsidR="009564FE" w:rsidRDefault="009564FE" w:rsidP="00F23C30">
    <w:pPr>
      <w:pStyle w:val="Sidefod"/>
      <w:tabs>
        <w:tab w:val="left" w:pos="14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2F9B" w14:textId="77777777" w:rsidR="00563EF3" w:rsidRDefault="00563EF3" w:rsidP="009564FE">
      <w:pPr>
        <w:spacing w:line="240" w:lineRule="auto"/>
      </w:pPr>
      <w:r>
        <w:separator/>
      </w:r>
    </w:p>
  </w:footnote>
  <w:footnote w:type="continuationSeparator" w:id="0">
    <w:p w14:paraId="568FA2FB" w14:textId="77777777" w:rsidR="00563EF3" w:rsidRDefault="00563EF3" w:rsidP="009564FE">
      <w:pPr>
        <w:spacing w:line="240" w:lineRule="auto"/>
      </w:pPr>
      <w:r>
        <w:continuationSeparator/>
      </w:r>
    </w:p>
  </w:footnote>
  <w:footnote w:id="1">
    <w:p w14:paraId="53628ECC" w14:textId="77777777" w:rsidR="00275BFC" w:rsidRDefault="00275BFC" w:rsidP="00275BFC">
      <w:pPr>
        <w:pStyle w:val="Fodnotetekst"/>
      </w:pPr>
      <w:r>
        <w:rPr>
          <w:rStyle w:val="Fodnotehenvisning"/>
        </w:rPr>
        <w:footnoteRef/>
      </w:r>
      <w:r>
        <w:t xml:space="preserve"> 1 [Forklarende kommentar: Her skal indsættes "long stop" dato, </w:t>
      </w:r>
      <w:proofErr w:type="gramStart"/>
      <w:r>
        <w:t>således at</w:t>
      </w:r>
      <w:proofErr w:type="gramEnd"/>
      <w:r>
        <w:t xml:space="preserve"> Anlægsejer ikke kan undgå at betale omkostninger ved blot ikke at efterleve Aftalen. Dato bør være ca. [6-12] måneder efter forventet dato for endt etablering]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0220" w14:textId="5E0096A8" w:rsidR="0033177D" w:rsidRDefault="00275BFC">
    <w:pPr>
      <w:pStyle w:val="Sidehoved"/>
    </w:pPr>
    <w:r>
      <w:rPr>
        <w:noProof/>
      </w:rPr>
      <w:pict w14:anchorId="57A0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652370" o:spid="_x0000_s1026" type="#_x0000_t75" alt="" style="position:absolute;margin-left:0;margin-top:0;width:750pt;height:105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05E" w14:textId="399BD344" w:rsidR="0033177D" w:rsidRDefault="00DB1A78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04AAF3" wp14:editId="06E32ECD">
          <wp:simplePos x="0" y="0"/>
          <wp:positionH relativeFrom="margin">
            <wp:posOffset>3706495</wp:posOffset>
          </wp:positionH>
          <wp:positionV relativeFrom="margin">
            <wp:posOffset>-544195</wp:posOffset>
          </wp:positionV>
          <wp:extent cx="1889760" cy="820420"/>
          <wp:effectExtent l="0" t="0" r="2540" b="508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DC82FC"/>
    <w:multiLevelType w:val="hybridMultilevel"/>
    <w:tmpl w:val="691307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C74B1F"/>
    <w:multiLevelType w:val="hybridMultilevel"/>
    <w:tmpl w:val="56D6B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ECE"/>
    <w:multiLevelType w:val="hybridMultilevel"/>
    <w:tmpl w:val="D1F41D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40EF"/>
    <w:multiLevelType w:val="hybridMultilevel"/>
    <w:tmpl w:val="D1F41D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5F02"/>
    <w:multiLevelType w:val="hybridMultilevel"/>
    <w:tmpl w:val="D1F41D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81A39"/>
    <w:multiLevelType w:val="hybridMultilevel"/>
    <w:tmpl w:val="7B423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348A1"/>
    <w:multiLevelType w:val="hybridMultilevel"/>
    <w:tmpl w:val="3AE283B4"/>
    <w:lvl w:ilvl="0" w:tplc="040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 w16cid:durableId="1701121450">
    <w:abstractNumId w:val="0"/>
  </w:num>
  <w:num w:numId="2" w16cid:durableId="694501542">
    <w:abstractNumId w:val="2"/>
  </w:num>
  <w:num w:numId="3" w16cid:durableId="1541363070">
    <w:abstractNumId w:val="3"/>
  </w:num>
  <w:num w:numId="4" w16cid:durableId="8417118">
    <w:abstractNumId w:val="4"/>
  </w:num>
  <w:num w:numId="5" w16cid:durableId="955913504">
    <w:abstractNumId w:val="6"/>
  </w:num>
  <w:num w:numId="6" w16cid:durableId="556235415">
    <w:abstractNumId w:val="1"/>
  </w:num>
  <w:num w:numId="7" w16cid:durableId="1249922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57"/>
    <w:rsid w:val="000035F9"/>
    <w:rsid w:val="00065422"/>
    <w:rsid w:val="000E0F85"/>
    <w:rsid w:val="000F202C"/>
    <w:rsid w:val="00165C6A"/>
    <w:rsid w:val="001742CD"/>
    <w:rsid w:val="001E1631"/>
    <w:rsid w:val="00267870"/>
    <w:rsid w:val="00275BFC"/>
    <w:rsid w:val="002B0F32"/>
    <w:rsid w:val="002D1964"/>
    <w:rsid w:val="0033177D"/>
    <w:rsid w:val="00346313"/>
    <w:rsid w:val="004476D3"/>
    <w:rsid w:val="00477857"/>
    <w:rsid w:val="004A2542"/>
    <w:rsid w:val="004E2695"/>
    <w:rsid w:val="00535698"/>
    <w:rsid w:val="00550339"/>
    <w:rsid w:val="00563EF3"/>
    <w:rsid w:val="005B7FED"/>
    <w:rsid w:val="005E1FAC"/>
    <w:rsid w:val="005F24AD"/>
    <w:rsid w:val="00724985"/>
    <w:rsid w:val="007F7518"/>
    <w:rsid w:val="00892B6A"/>
    <w:rsid w:val="00933986"/>
    <w:rsid w:val="009564FE"/>
    <w:rsid w:val="00980675"/>
    <w:rsid w:val="009B01F2"/>
    <w:rsid w:val="00A042BC"/>
    <w:rsid w:val="00A50513"/>
    <w:rsid w:val="00A5558F"/>
    <w:rsid w:val="00AC1B41"/>
    <w:rsid w:val="00B16731"/>
    <w:rsid w:val="00B627B8"/>
    <w:rsid w:val="00C62A86"/>
    <w:rsid w:val="00C84906"/>
    <w:rsid w:val="00CA65EC"/>
    <w:rsid w:val="00DB1A78"/>
    <w:rsid w:val="00DE490A"/>
    <w:rsid w:val="00E409F1"/>
    <w:rsid w:val="00ED4A15"/>
    <w:rsid w:val="00F226D3"/>
    <w:rsid w:val="00F23C30"/>
    <w:rsid w:val="00F3665F"/>
    <w:rsid w:val="00F408F5"/>
    <w:rsid w:val="00F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7BD2"/>
  <w15:chartTrackingRefBased/>
  <w15:docId w15:val="{D48962F9-50F6-0D47-9C6F-2F2DF40E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FE"/>
    <w:pPr>
      <w:spacing w:line="280" w:lineRule="atLeast"/>
    </w:pPr>
    <w:rPr>
      <w:rFonts w:ascii="Arial" w:eastAsia="Times New Roman" w:hAnsi="Arial" w:cs="Times New Roman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7785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9564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64FE"/>
  </w:style>
  <w:style w:type="paragraph" w:styleId="Sidefod">
    <w:name w:val="footer"/>
    <w:basedOn w:val="Normal"/>
    <w:link w:val="SidefodTegn"/>
    <w:uiPriority w:val="99"/>
    <w:unhideWhenUsed/>
    <w:rsid w:val="009564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64FE"/>
  </w:style>
  <w:style w:type="table" w:styleId="Tabel-Gitter">
    <w:name w:val="Table Grid"/>
    <w:basedOn w:val="Tabel-Normal"/>
    <w:rsid w:val="009564FE"/>
    <w:pPr>
      <w:spacing w:line="28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9564FE"/>
  </w:style>
  <w:style w:type="character" w:customStyle="1" w:styleId="lrzxr">
    <w:name w:val="lrzxr"/>
    <w:basedOn w:val="Standardskrifttypeiafsnit"/>
    <w:rsid w:val="00A50513"/>
  </w:style>
  <w:style w:type="character" w:styleId="Hyperlink">
    <w:name w:val="Hyperlink"/>
    <w:basedOn w:val="Standardskrifttypeiafsnit"/>
    <w:uiPriority w:val="99"/>
    <w:unhideWhenUsed/>
    <w:rsid w:val="00F23C3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3C3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23C30"/>
    <w:rPr>
      <w:color w:val="954F72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75BFC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75BFC"/>
    <w:rPr>
      <w:rFonts w:ascii="Arial" w:eastAsia="Times New Roman" w:hAnsi="Arial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rsid w:val="00275BFC"/>
    <w:rPr>
      <w:vertAlign w:val="superscript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707E7B0118A4A8AB3E12F7DCDF44C" ma:contentTypeVersion="11" ma:contentTypeDescription="Opret et nyt dokument." ma:contentTypeScope="" ma:versionID="86dc34a952a052a50ae427293231a1e9">
  <xsd:schema xmlns:xsd="http://www.w3.org/2001/XMLSchema" xmlns:xs="http://www.w3.org/2001/XMLSchema" xmlns:p="http://schemas.microsoft.com/office/2006/metadata/properties" xmlns:ns2="03eb045a-2930-4c85-a468-8b8735742ca8" xmlns:ns3="e23f5ca9-e905-4070-a302-935d24906b3d" targetNamespace="http://schemas.microsoft.com/office/2006/metadata/properties" ma:root="true" ma:fieldsID="70ed142ec111ad80dc4a70cac7aa3323" ns2:_="" ns3:_="">
    <xsd:import namespace="03eb045a-2930-4c85-a468-8b8735742ca8"/>
    <xsd:import namespace="e23f5ca9-e905-4070-a302-935d24906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045a-2930-4c85-a468-8b873574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5ca9-e905-4070-a302-935d24906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B7A05-BE96-41D1-BF3F-D47F540EB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6028C-642D-D345-ADBC-4902175CE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2C2F1-2F94-4D5E-8024-CA9DFFAC2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b045a-2930-4c85-a468-8b8735742ca8"/>
    <ds:schemaRef ds:uri="e23f5ca9-e905-4070-a302-935d24906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65BC29-763F-435B-927E-DEF0DDC7E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Kjærgaard</dc:creator>
  <cp:keywords/>
  <dc:description/>
  <cp:lastModifiedBy>Thomas Heldbo Wienberg</cp:lastModifiedBy>
  <cp:revision>2</cp:revision>
  <cp:lastPrinted>2022-02-11T11:06:00Z</cp:lastPrinted>
  <dcterms:created xsi:type="dcterms:W3CDTF">2022-11-24T13:45:00Z</dcterms:created>
  <dcterms:modified xsi:type="dcterms:W3CDTF">2022-11-24T13:45:00Z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0x01010017F707E7B0118A4A8AB3E12F7DCDF44C</vt:lpwstr>
  </property>
  <property fmtid="{D5CDD505-2E9C-101B-9397-08002B2CF9AE}" pid="3" name="Order">
    <vt:r8>1000</vt:r8>
  </property>
  <property fmtid="{D5CDD505-2E9C-101B-9397-08002B2CF9AE}" pid="4" name="Dok_DokumentNr">
    <vt:lpwstr>d2022-402297</vt:lpwstr>
  </property>
  <property fmtid="{D5CDD505-2E9C-101B-9397-08002B2CF9AE}" pid="5" name="Dok_DokumentTitel">
    <vt:lpwstr>slet</vt:lpwstr>
  </property>
  <property fmtid="{D5CDD505-2E9C-101B-9397-08002B2CF9AE}" pid="6" name="Dok_AnsvarligFuldeNavn">
    <vt:lpwstr>Thomas Heldbo Wienberg</vt:lpwstr>
  </property>
  <property fmtid="{D5CDD505-2E9C-101B-9397-08002B2CF9AE}" pid="7" name="Dok_AnsvarligInitialer">
    <vt:lpwstr>THW</vt:lpwstr>
  </property>
  <property fmtid="{D5CDD505-2E9C-101B-9397-08002B2CF9AE}" pid="8" name="Dok_AnsvarligEmail">
    <vt:lpwstr>THW@greenpowerdenmark.dk</vt:lpwstr>
  </property>
  <property fmtid="{D5CDD505-2E9C-101B-9397-08002B2CF9AE}" pid="9" name="Dok_AnsvarligTelefon">
    <vt:lpwstr>+45 35 30 04 08</vt:lpwstr>
  </property>
  <property fmtid="{D5CDD505-2E9C-101B-9397-08002B2CF9AE}" pid="10" name="Dok_SekretærFuldeNavn">
    <vt:lpwstr/>
  </property>
  <property fmtid="{D5CDD505-2E9C-101B-9397-08002B2CF9AE}" pid="11" name="Dok_SekretærInitialer">
    <vt:lpwstr/>
  </property>
  <property fmtid="{D5CDD505-2E9C-101B-9397-08002B2CF9AE}" pid="12" name="Dok_SekretærEmail">
    <vt:lpwstr/>
  </property>
  <property fmtid="{D5CDD505-2E9C-101B-9397-08002B2CF9AE}" pid="13" name="Dok_SekretærTelefon">
    <vt:lpwstr/>
  </property>
  <property fmtid="{D5CDD505-2E9C-101B-9397-08002B2CF9AE}" pid="14" name="Dok_AnsvarligUnderskriverFuldeNavn">
    <vt:lpwstr/>
  </property>
  <property fmtid="{D5CDD505-2E9C-101B-9397-08002B2CF9AE}" pid="15" name="Dok_DokumentRetning">
    <vt:lpwstr/>
  </property>
  <property fmtid="{D5CDD505-2E9C-101B-9397-08002B2CF9AE}" pid="16" name="Dok_ModtagerAfsenderFuldeNavn">
    <vt:lpwstr/>
  </property>
  <property fmtid="{D5CDD505-2E9C-101B-9397-08002B2CF9AE}" pid="17" name="Kommentarer">
    <vt:lpwstr>Kommentarer</vt:lpwstr>
  </property>
  <property fmtid="{D5CDD505-2E9C-101B-9397-08002B2CF9AE}" pid="18" name="Dok_ArbejdsGruppe">
    <vt:lpwstr/>
  </property>
  <property fmtid="{D5CDD505-2E9C-101B-9397-08002B2CF9AE}" pid="19" name="Dok_Betaling">
    <vt:lpwstr/>
  </property>
  <property fmtid="{D5CDD505-2E9C-101B-9397-08002B2CF9AE}" pid="20" name="Dok_PrisGruppe">
    <vt:lpwstr/>
  </property>
  <property fmtid="{D5CDD505-2E9C-101B-9397-08002B2CF9AE}" pid="21" name="Dok_AfleveringsPligt">
    <vt:lpwstr/>
  </property>
  <property fmtid="{D5CDD505-2E9C-101B-9397-08002B2CF9AE}" pid="22" name="Dok_RapportNr">
    <vt:lpwstr/>
  </property>
  <property fmtid="{D5CDD505-2E9C-101B-9397-08002B2CF9AE}" pid="23" name="Dok_Rekvirent">
    <vt:lpwstr/>
  </property>
  <property fmtid="{D5CDD505-2E9C-101B-9397-08002B2CF9AE}" pid="24" name="Dok_Udgave">
    <vt:lpwstr/>
  </property>
  <property fmtid="{D5CDD505-2E9C-101B-9397-08002B2CF9AE}" pid="25" name="Dok_Klasse">
    <vt:lpwstr/>
  </property>
  <property fmtid="{D5CDD505-2E9C-101B-9397-08002B2CF9AE}" pid="26" name="Dok_KontraktAftalePart">
    <vt:lpwstr/>
  </property>
  <property fmtid="{D5CDD505-2E9C-101B-9397-08002B2CF9AE}" pid="27" name="Dok_InformationsNr">
    <vt:lpwstr/>
  </property>
  <property fmtid="{D5CDD505-2E9C-101B-9397-08002B2CF9AE}" pid="28" name="Dok_IndholdsType">
    <vt:lpwstr/>
  </property>
  <property fmtid="{D5CDD505-2E9C-101B-9397-08002B2CF9AE}" pid="29" name="Dok_PunktNr">
    <vt:lpwstr/>
  </property>
  <property fmtid="{D5CDD505-2E9C-101B-9397-08002B2CF9AE}" pid="30" name="Dok_DokumentDateret">
    <vt:lpwstr>24-11-2022</vt:lpwstr>
  </property>
  <property fmtid="{D5CDD505-2E9C-101B-9397-08002B2CF9AE}" pid="31" name="Dok_Opfølgningsdato">
    <vt:lpwstr/>
  </property>
  <property fmtid="{D5CDD505-2E9C-101B-9397-08002B2CF9AE}" pid="32" name="Dok_UdløbsDato">
    <vt:lpwstr/>
  </property>
  <property fmtid="{D5CDD505-2E9C-101B-9397-08002B2CF9AE}" pid="33" name="Dok_MedAnsvarligFuldeNavn">
    <vt:lpwstr/>
  </property>
  <property fmtid="{D5CDD505-2E9C-101B-9397-08002B2CF9AE}" pid="34" name="Dok_MedAnsvarligInitialer">
    <vt:lpwstr/>
  </property>
  <property fmtid="{D5CDD505-2E9C-101B-9397-08002B2CF9AE}" pid="35" name="Dok_DokumentVersion">
    <vt:lpwstr>0.1</vt:lpwstr>
  </property>
  <property fmtid="{D5CDD505-2E9C-101B-9397-08002B2CF9AE}" pid="36" name="Sag_SagsNummer">
    <vt:lpwstr>s2022-261</vt:lpwstr>
  </property>
  <property fmtid="{D5CDD505-2E9C-101B-9397-08002B2CF9AE}" pid="37" name="Sag_SagsTitel">
    <vt:lpwstr>Nettilslutningsaftaler for produktion</vt:lpwstr>
  </property>
  <property fmtid="{D5CDD505-2E9C-101B-9397-08002B2CF9AE}" pid="38" name="Sag_SagsAnsvarligFuldeNavn">
    <vt:lpwstr>Louise Jakobsen</vt:lpwstr>
  </property>
  <property fmtid="{D5CDD505-2E9C-101B-9397-08002B2CF9AE}" pid="39" name="Sag_SagsAnsvarligInitialet">
    <vt:lpwstr>LJA</vt:lpwstr>
  </property>
  <property fmtid="{D5CDD505-2E9C-101B-9397-08002B2CF9AE}" pid="40" name="Sag_SagsAnsvarligEmail">
    <vt:lpwstr>lja@greenpowerdenmark.dk</vt:lpwstr>
  </property>
  <property fmtid="{D5CDD505-2E9C-101B-9397-08002B2CF9AE}" pid="41" name="Sag_SagsAnsvarligTelefon">
    <vt:lpwstr>+45 20 90 77 78</vt:lpwstr>
  </property>
  <property fmtid="{D5CDD505-2E9C-101B-9397-08002B2CF9AE}" pid="42" name="Sag_MødeDato">
    <vt:lpwstr/>
  </property>
  <property fmtid="{D5CDD505-2E9C-101B-9397-08002B2CF9AE}" pid="43" name="Sag_DeadlineForSagsfremstilling">
    <vt:lpwstr/>
  </property>
  <property fmtid="{D5CDD505-2E9C-101B-9397-08002B2CF9AE}" pid="44" name="Sag_ArbejdsGruppe">
    <vt:lpwstr/>
  </property>
  <property fmtid="{D5CDD505-2E9C-101B-9397-08002B2CF9AE}" pid="45" name="Sag_BestyrelsesNavn">
    <vt:lpwstr/>
  </property>
  <property fmtid="{D5CDD505-2E9C-101B-9397-08002B2CF9AE}" pid="46" name="Sag_OpstartsDato">
    <vt:lpwstr/>
  </property>
  <property fmtid="{D5CDD505-2E9C-101B-9397-08002B2CF9AE}" pid="47" name="Sag_UdsendelseDato">
    <vt:lpwstr/>
  </property>
  <property fmtid="{D5CDD505-2E9C-101B-9397-08002B2CF9AE}" pid="48" name="Sag_UdvalgsNavn">
    <vt:lpwstr/>
  </property>
  <property fmtid="{D5CDD505-2E9C-101B-9397-08002B2CF9AE}" pid="49" name="Sag_EjendomsNr">
    <vt:lpwstr/>
  </property>
  <property fmtid="{D5CDD505-2E9C-101B-9397-08002B2CF9AE}" pid="50" name="Sag_MatrikelNr">
    <vt:lpwstr/>
  </property>
  <property fmtid="{D5CDD505-2E9C-101B-9397-08002B2CF9AE}" pid="51" name="Sag_ØkonomiNr">
    <vt:lpwstr/>
  </property>
  <property fmtid="{D5CDD505-2E9C-101B-9397-08002B2CF9AE}" pid="52" name="Sag_Finansiering">
    <vt:lpwstr/>
  </property>
  <property fmtid="{D5CDD505-2E9C-101B-9397-08002B2CF9AE}" pid="53" name="Sag_MødeDatoLangFormat">
    <vt:lpwstr/>
  </property>
  <property fmtid="{D5CDD505-2E9C-101B-9397-08002B2CF9AE}" pid="54" name="Comments">
    <vt:lpwstr/>
  </property>
</Properties>
</file>